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75" w:rsidRDefault="005E7D75" w:rsidP="005E7D75">
      <w:pPr>
        <w:jc w:val="righ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:rsidR="005E7D75" w:rsidRPr="00F55D65" w:rsidRDefault="005E7D75" w:rsidP="005E7D75">
      <w:pPr>
        <w:rPr>
          <w:rFonts w:ascii="Arial" w:hAnsi="Arial" w:cs="Arial"/>
          <w:b/>
          <w:sz w:val="36"/>
          <w:szCs w:val="36"/>
        </w:rPr>
      </w:pPr>
      <w:r w:rsidRPr="00F55D65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5E7D75" w:rsidRDefault="005E7D75" w:rsidP="005E7D75">
      <w:pPr>
        <w:jc w:val="center"/>
        <w:rPr>
          <w:b/>
          <w:sz w:val="28"/>
          <w:szCs w:val="28"/>
        </w:rPr>
      </w:pPr>
    </w:p>
    <w:p w:rsidR="005E7D75" w:rsidRDefault="005E7D75" w:rsidP="005E7D75">
      <w:pPr>
        <w:jc w:val="center"/>
        <w:rPr>
          <w:b/>
          <w:sz w:val="28"/>
          <w:szCs w:val="28"/>
        </w:rPr>
      </w:pPr>
    </w:p>
    <w:p w:rsidR="005E7D75" w:rsidRPr="008331CA" w:rsidRDefault="005E7D75" w:rsidP="005E7D7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</w:t>
      </w:r>
      <w:r w:rsidRPr="008331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8331CA">
        <w:rPr>
          <w:rFonts w:ascii="Arial" w:hAnsi="Arial" w:cs="Arial"/>
          <w:sz w:val="22"/>
          <w:szCs w:val="22"/>
        </w:rPr>
        <w:t>astupiteľstva</w:t>
      </w:r>
    </w:p>
    <w:p w:rsidR="005E7D75" w:rsidRDefault="005E7D75" w:rsidP="005E7D75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5E7D75" w:rsidRDefault="005E7D75" w:rsidP="005E7D75">
      <w:pPr>
        <w:jc w:val="both"/>
        <w:rPr>
          <w:rFonts w:ascii="Arial" w:hAnsi="Arial" w:cs="Arial"/>
          <w:sz w:val="22"/>
          <w:szCs w:val="22"/>
        </w:rPr>
      </w:pPr>
    </w:p>
    <w:p w:rsidR="005E7D75" w:rsidRPr="000A5E40" w:rsidRDefault="005E7D75" w:rsidP="005E7D7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12</w:t>
      </w:r>
      <w:r w:rsidRPr="000A5E40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mája</w:t>
      </w:r>
      <w:r w:rsidRPr="000A5E4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2017</w:t>
      </w:r>
    </w:p>
    <w:p w:rsidR="005E7D75" w:rsidRDefault="005E7D75" w:rsidP="005E7D75">
      <w:pPr>
        <w:jc w:val="center"/>
        <w:rPr>
          <w:rFonts w:ascii="Arial" w:hAnsi="Arial" w:cs="Arial"/>
          <w:b/>
        </w:rPr>
      </w:pPr>
    </w:p>
    <w:p w:rsidR="00E01373" w:rsidRDefault="00E01373" w:rsidP="005E7D75">
      <w:pPr>
        <w:jc w:val="center"/>
        <w:rPr>
          <w:rFonts w:ascii="Arial" w:hAnsi="Arial" w:cs="Arial"/>
          <w:b/>
        </w:rPr>
      </w:pPr>
    </w:p>
    <w:p w:rsidR="00E01373" w:rsidRDefault="00E01373" w:rsidP="005E7D75">
      <w:pPr>
        <w:jc w:val="center"/>
        <w:rPr>
          <w:rFonts w:ascii="Arial" w:hAnsi="Arial" w:cs="Arial"/>
          <w:b/>
        </w:rPr>
      </w:pPr>
    </w:p>
    <w:p w:rsidR="005E7D75" w:rsidRDefault="005E7D75" w:rsidP="005E7D75">
      <w:pPr>
        <w:rPr>
          <w:rFonts w:ascii="Arial" w:hAnsi="Arial" w:cs="Arial"/>
          <w:b/>
        </w:rPr>
      </w:pPr>
    </w:p>
    <w:p w:rsidR="00E01373" w:rsidRPr="00F24930" w:rsidRDefault="005E7D75" w:rsidP="00E01373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 w:rsidRPr="00E01373">
        <w:rPr>
          <w:rFonts w:ascii="Arial" w:eastAsia="Arial Unicode MS" w:hAnsi="Arial" w:cs="Arial"/>
          <w:b/>
          <w:bCs/>
        </w:rPr>
        <w:t xml:space="preserve">Návrh </w:t>
      </w:r>
      <w:r w:rsidR="00E01373">
        <w:rPr>
          <w:rFonts w:ascii="Arial" w:eastAsia="Arial Unicode MS" w:hAnsi="Arial" w:cs="Arial"/>
          <w:b/>
          <w:bCs/>
        </w:rPr>
        <w:t>na čerpanie úverov v zmysle Uznesenia Zastupiteľstva Bratislavského samosprávneho kraja č. 123/2016</w:t>
      </w:r>
    </w:p>
    <w:p w:rsidR="005E7D75" w:rsidRDefault="005E7D75" w:rsidP="005E7D75">
      <w:pPr>
        <w:jc w:val="both"/>
        <w:rPr>
          <w:rFonts w:ascii="Arial" w:hAnsi="Arial" w:cs="Arial"/>
          <w:u w:val="single"/>
        </w:rPr>
      </w:pPr>
    </w:p>
    <w:p w:rsidR="00E01373" w:rsidRDefault="005E7D75" w:rsidP="005E7D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:rsidR="00E01373" w:rsidRDefault="00E01373" w:rsidP="005E7D75">
      <w:pPr>
        <w:jc w:val="both"/>
        <w:rPr>
          <w:rFonts w:ascii="Arial" w:hAnsi="Arial" w:cs="Arial"/>
        </w:rPr>
      </w:pPr>
    </w:p>
    <w:p w:rsidR="005E7D75" w:rsidRDefault="005E7D75" w:rsidP="005E7D7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</w:t>
      </w:r>
    </w:p>
    <w:p w:rsidR="005E7D75" w:rsidRPr="009616E3" w:rsidRDefault="005E7D75" w:rsidP="005E7D75">
      <w:pPr>
        <w:tabs>
          <w:tab w:val="left" w:pos="1254"/>
        </w:tabs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predkladá</w:t>
      </w:r>
      <w:r w:rsidRPr="009616E3">
        <w:rPr>
          <w:rFonts w:ascii="Arial" w:hAnsi="Arial" w:cs="Arial"/>
        </w:rPr>
        <w:t>:</w:t>
      </w:r>
      <w:r w:rsidRPr="001F0AB6">
        <w:rPr>
          <w:rFonts w:ascii="Calibri" w:hAnsi="Calibri" w:cs="Arial"/>
        </w:rPr>
        <w:t xml:space="preserve">      </w:t>
      </w:r>
      <w:r w:rsidRPr="001F0AB6">
        <w:rPr>
          <w:rFonts w:ascii="Calibri" w:hAnsi="Calibri" w:cs="Arial"/>
        </w:rPr>
        <w:tab/>
        <w:t xml:space="preserve">                                    </w:t>
      </w:r>
      <w:r>
        <w:rPr>
          <w:rFonts w:ascii="Calibri" w:hAnsi="Calibri" w:cs="Arial"/>
        </w:rPr>
        <w:tab/>
      </w:r>
      <w:r w:rsidRPr="009616E3">
        <w:rPr>
          <w:rFonts w:ascii="Arial" w:hAnsi="Arial" w:cs="Arial"/>
          <w:u w:val="single"/>
        </w:rPr>
        <w:t>Materiál obsahuje</w:t>
      </w:r>
      <w:r w:rsidRPr="009616E3">
        <w:rPr>
          <w:rFonts w:ascii="Arial" w:hAnsi="Arial" w:cs="Arial"/>
        </w:rPr>
        <w:t>:</w:t>
      </w:r>
    </w:p>
    <w:p w:rsidR="005E7D75" w:rsidRPr="009616E3" w:rsidRDefault="005E7D75" w:rsidP="005E7D75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</w:p>
    <w:p w:rsidR="005E7D75" w:rsidRPr="009616E3" w:rsidRDefault="005E7D75" w:rsidP="005E7D75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</w:rPr>
        <w:t>RNDr. Martin</w:t>
      </w:r>
      <w:r w:rsidRPr="00F55D65">
        <w:rPr>
          <w:rFonts w:ascii="Arial" w:hAnsi="Arial"/>
          <w:b/>
        </w:rPr>
        <w:t xml:space="preserve"> </w:t>
      </w:r>
      <w:proofErr w:type="spellStart"/>
      <w:r w:rsidRPr="00F55D65">
        <w:rPr>
          <w:rFonts w:ascii="Arial" w:hAnsi="Arial"/>
          <w:b/>
        </w:rPr>
        <w:t>Zaťovič</w:t>
      </w:r>
      <w:proofErr w:type="spellEnd"/>
      <w:r w:rsidRPr="009616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9616E3">
        <w:rPr>
          <w:rFonts w:ascii="Arial" w:hAnsi="Arial" w:cs="Arial"/>
        </w:rPr>
        <w:t>1. Návrh uznesenia</w:t>
      </w:r>
    </w:p>
    <w:p w:rsidR="005E7D75" w:rsidRPr="009616E3" w:rsidRDefault="005E7D75" w:rsidP="005E7D75">
      <w:pPr>
        <w:tabs>
          <w:tab w:val="left" w:pos="1254"/>
          <w:tab w:val="left" w:pos="50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podpredseda BSK</w:t>
      </w:r>
      <w:r w:rsidRPr="009616E3">
        <w:rPr>
          <w:rFonts w:ascii="Arial" w:hAnsi="Arial" w:cs="Arial"/>
        </w:rPr>
        <w:tab/>
        <w:t>2. Dôvodová správa</w:t>
      </w:r>
    </w:p>
    <w:p w:rsidR="00E01373" w:rsidRDefault="005E7D75" w:rsidP="00E01373">
      <w:pPr>
        <w:tabs>
          <w:tab w:val="left" w:pos="1254"/>
          <w:tab w:val="left" w:pos="5040"/>
        </w:tabs>
        <w:jc w:val="both"/>
        <w:rPr>
          <w:rFonts w:ascii="Arial" w:hAnsi="Arial" w:cs="Arial"/>
        </w:rPr>
      </w:pPr>
      <w:r w:rsidRPr="009616E3">
        <w:rPr>
          <w:rFonts w:ascii="Arial" w:hAnsi="Arial" w:cs="Arial"/>
        </w:rPr>
        <w:tab/>
      </w:r>
      <w:r w:rsidRPr="009616E3">
        <w:rPr>
          <w:rFonts w:ascii="Arial" w:hAnsi="Arial" w:cs="Arial"/>
        </w:rPr>
        <w:tab/>
        <w:t xml:space="preserve">3. </w:t>
      </w:r>
      <w:r w:rsidR="00E01373">
        <w:rPr>
          <w:rFonts w:ascii="Arial" w:hAnsi="Arial" w:cs="Arial"/>
        </w:rPr>
        <w:t>Materiál</w:t>
      </w:r>
    </w:p>
    <w:p w:rsidR="005E7D75" w:rsidRDefault="005E7D75" w:rsidP="00E01373">
      <w:pPr>
        <w:tabs>
          <w:tab w:val="left" w:pos="1254"/>
          <w:tab w:val="left" w:pos="5040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01373">
        <w:rPr>
          <w:rFonts w:ascii="Arial" w:hAnsi="Arial"/>
        </w:rPr>
        <w:t>4</w:t>
      </w:r>
      <w:r>
        <w:rPr>
          <w:rFonts w:ascii="Arial" w:hAnsi="Arial"/>
        </w:rPr>
        <w:t>. Stanoviská komisií Z BSK</w:t>
      </w:r>
    </w:p>
    <w:p w:rsidR="005E7D75" w:rsidRPr="00600A5A" w:rsidRDefault="005E7D75" w:rsidP="005E7D75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</w:r>
    </w:p>
    <w:p w:rsidR="005E7D75" w:rsidRDefault="005E7D75" w:rsidP="005E7D75">
      <w:pPr>
        <w:pStyle w:val="Zarkazkladnhotextu"/>
        <w:spacing w:line="276" w:lineRule="auto"/>
        <w:ind w:left="5761" w:hanging="5761"/>
        <w:rPr>
          <w:rFonts w:ascii="Arial" w:hAnsi="Arial" w:cs="Arial"/>
          <w:u w:val="single"/>
        </w:rPr>
      </w:pPr>
    </w:p>
    <w:p w:rsidR="005E7D75" w:rsidRPr="004F4B45" w:rsidRDefault="005E7D75" w:rsidP="005E7D75">
      <w:pPr>
        <w:pStyle w:val="Zarkazkladnhotextu"/>
        <w:spacing w:line="276" w:lineRule="auto"/>
        <w:ind w:left="5761" w:hanging="5761"/>
        <w:rPr>
          <w:rFonts w:ascii="Arial" w:hAnsi="Arial" w:cs="Arial"/>
        </w:rPr>
      </w:pPr>
      <w:r w:rsidRPr="004F4B45">
        <w:rPr>
          <w:rFonts w:ascii="Arial" w:hAnsi="Arial" w:cs="Arial"/>
          <w:u w:val="single"/>
        </w:rPr>
        <w:t>Zodpovedný</w:t>
      </w:r>
      <w:r w:rsidRPr="004F4B45">
        <w:rPr>
          <w:rFonts w:ascii="Arial" w:hAnsi="Arial" w:cs="Arial"/>
        </w:rPr>
        <w:t>:</w:t>
      </w:r>
    </w:p>
    <w:p w:rsidR="005E7D75" w:rsidRPr="00912CC9" w:rsidRDefault="005E7D75" w:rsidP="005E7D75">
      <w:pPr>
        <w:tabs>
          <w:tab w:val="left" w:pos="1254"/>
        </w:tabs>
        <w:rPr>
          <w:rFonts w:ascii="Arial" w:hAnsi="Arial"/>
          <w:b/>
        </w:rPr>
      </w:pPr>
      <w:r w:rsidRPr="00912CC9">
        <w:rPr>
          <w:rFonts w:ascii="Arial" w:hAnsi="Arial"/>
          <w:b/>
        </w:rPr>
        <w:t>Ing. Marián Múdry</w:t>
      </w:r>
    </w:p>
    <w:p w:rsidR="005E7D75" w:rsidRDefault="005E7D75" w:rsidP="005E7D75">
      <w:pPr>
        <w:tabs>
          <w:tab w:val="left" w:pos="1254"/>
        </w:tabs>
        <w:rPr>
          <w:rFonts w:ascii="Arial" w:hAnsi="Arial"/>
        </w:rPr>
      </w:pPr>
      <w:r w:rsidRPr="004F4B45">
        <w:rPr>
          <w:rFonts w:ascii="Arial" w:hAnsi="Arial"/>
        </w:rPr>
        <w:t>riaditeľ odboru financií</w:t>
      </w:r>
    </w:p>
    <w:p w:rsidR="005E7D75" w:rsidRDefault="005E7D75" w:rsidP="005E7D75">
      <w:pPr>
        <w:tabs>
          <w:tab w:val="left" w:pos="1254"/>
        </w:tabs>
        <w:rPr>
          <w:rFonts w:ascii="Arial" w:hAnsi="Arial"/>
        </w:rPr>
      </w:pPr>
    </w:p>
    <w:p w:rsidR="005E7D75" w:rsidRPr="004F4B45" w:rsidRDefault="005E7D75" w:rsidP="005E7D75">
      <w:pPr>
        <w:tabs>
          <w:tab w:val="left" w:pos="1254"/>
        </w:tabs>
        <w:rPr>
          <w:rFonts w:ascii="Arial" w:hAnsi="Arial"/>
        </w:rPr>
      </w:pPr>
    </w:p>
    <w:p w:rsidR="005E7D75" w:rsidRDefault="005E7D75" w:rsidP="005E7D75">
      <w:pPr>
        <w:shd w:val="clear" w:color="auto" w:fill="FFFFFF"/>
        <w:spacing w:before="331"/>
        <w:rPr>
          <w:rFonts w:asciiTheme="minorHAnsi" w:hAnsiTheme="minorHAnsi"/>
          <w:b/>
          <w:bCs/>
        </w:rPr>
      </w:pPr>
    </w:p>
    <w:p w:rsidR="005E7D75" w:rsidRDefault="005E7D75" w:rsidP="005E7D75">
      <w:pPr>
        <w:tabs>
          <w:tab w:val="left" w:pos="1254"/>
        </w:tabs>
        <w:rPr>
          <w:rFonts w:ascii="Arial" w:hAnsi="Arial"/>
          <w:u w:val="single"/>
        </w:rPr>
      </w:pPr>
    </w:p>
    <w:p w:rsidR="005E7D75" w:rsidRPr="004F4B45" w:rsidRDefault="005E7D75" w:rsidP="005E7D75">
      <w:pPr>
        <w:tabs>
          <w:tab w:val="left" w:pos="1254"/>
        </w:tabs>
        <w:rPr>
          <w:rFonts w:ascii="Arial" w:hAnsi="Arial"/>
          <w:u w:val="single"/>
        </w:rPr>
      </w:pPr>
      <w:r w:rsidRPr="004F4B45">
        <w:rPr>
          <w:rFonts w:ascii="Arial" w:hAnsi="Arial"/>
          <w:u w:val="single"/>
        </w:rPr>
        <w:t>Spracovatelia:</w:t>
      </w:r>
    </w:p>
    <w:p w:rsidR="005E7D75" w:rsidRPr="004F4B45" w:rsidRDefault="005E7D75" w:rsidP="005E7D75">
      <w:pPr>
        <w:tabs>
          <w:tab w:val="left" w:pos="1254"/>
        </w:tabs>
        <w:rPr>
          <w:rFonts w:ascii="Arial" w:hAnsi="Arial"/>
        </w:rPr>
      </w:pPr>
    </w:p>
    <w:p w:rsidR="005E7D75" w:rsidRPr="005E7D75" w:rsidRDefault="005E7D75" w:rsidP="005E7D75">
      <w:pPr>
        <w:tabs>
          <w:tab w:val="left" w:pos="1254"/>
        </w:tabs>
        <w:rPr>
          <w:rFonts w:ascii="Arial" w:hAnsi="Arial"/>
          <w:b/>
        </w:rPr>
      </w:pPr>
      <w:r w:rsidRPr="005E7D75">
        <w:rPr>
          <w:rFonts w:ascii="Arial" w:hAnsi="Arial"/>
          <w:b/>
        </w:rPr>
        <w:t xml:space="preserve">Ing. Veronika </w:t>
      </w:r>
      <w:proofErr w:type="spellStart"/>
      <w:r w:rsidRPr="005E7D75">
        <w:rPr>
          <w:rFonts w:ascii="Arial" w:hAnsi="Arial"/>
          <w:b/>
        </w:rPr>
        <w:t>Bódiová</w:t>
      </w:r>
      <w:proofErr w:type="spellEnd"/>
      <w:r w:rsidRPr="005E7D75">
        <w:rPr>
          <w:rFonts w:ascii="Arial" w:hAnsi="Arial"/>
          <w:b/>
        </w:rPr>
        <w:tab/>
      </w:r>
      <w:r w:rsidRPr="005E7D75">
        <w:rPr>
          <w:rFonts w:ascii="Arial" w:hAnsi="Arial"/>
          <w:b/>
        </w:rPr>
        <w:tab/>
      </w:r>
    </w:p>
    <w:p w:rsidR="005E7D75" w:rsidRPr="005E7D75" w:rsidRDefault="005E7D75" w:rsidP="005E7D75">
      <w:pPr>
        <w:tabs>
          <w:tab w:val="left" w:pos="1254"/>
        </w:tabs>
        <w:rPr>
          <w:rFonts w:ascii="Arial" w:hAnsi="Arial"/>
        </w:rPr>
      </w:pPr>
      <w:r w:rsidRPr="005E7D75">
        <w:rPr>
          <w:rFonts w:ascii="Arial" w:hAnsi="Arial"/>
        </w:rPr>
        <w:t xml:space="preserve">vedúca oddelenia rozpočtu </w:t>
      </w:r>
      <w:r w:rsidRPr="005E7D75">
        <w:rPr>
          <w:rFonts w:ascii="Arial" w:hAnsi="Arial"/>
        </w:rPr>
        <w:tab/>
      </w:r>
      <w:r w:rsidRPr="005E7D75">
        <w:rPr>
          <w:rFonts w:ascii="Arial" w:hAnsi="Arial"/>
        </w:rPr>
        <w:tab/>
      </w:r>
    </w:p>
    <w:p w:rsidR="005E7D75" w:rsidRPr="005F6BB4" w:rsidRDefault="005E7D75" w:rsidP="005E7D75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hAnsiTheme="minorHAnsi" w:cs="Arial"/>
          <w:sz w:val="18"/>
          <w:szCs w:val="18"/>
          <w:lang w:val="sk-SK" w:eastAsia="cs-CZ"/>
        </w:rPr>
      </w:pPr>
    </w:p>
    <w:p w:rsidR="005E7D75" w:rsidRPr="005E7D75" w:rsidRDefault="005E7D75" w:rsidP="005E7D75">
      <w:pPr>
        <w:tabs>
          <w:tab w:val="left" w:pos="1254"/>
        </w:tabs>
        <w:rPr>
          <w:rFonts w:ascii="Arial" w:hAnsi="Arial"/>
          <w:b/>
        </w:rPr>
      </w:pPr>
      <w:r w:rsidRPr="005E7D75">
        <w:rPr>
          <w:rFonts w:ascii="Arial" w:hAnsi="Arial"/>
          <w:b/>
        </w:rPr>
        <w:t>Ing. Marek Vlčej</w:t>
      </w:r>
      <w:r w:rsidRPr="005E7D75">
        <w:rPr>
          <w:rFonts w:ascii="Arial" w:hAnsi="Arial"/>
          <w:b/>
        </w:rPr>
        <w:tab/>
      </w:r>
      <w:r w:rsidRPr="005E7D75">
        <w:rPr>
          <w:rFonts w:ascii="Arial" w:hAnsi="Arial"/>
          <w:b/>
        </w:rPr>
        <w:tab/>
      </w:r>
    </w:p>
    <w:p w:rsidR="005E7D75" w:rsidRPr="005E7D75" w:rsidRDefault="005E7D75" w:rsidP="005E7D75">
      <w:pPr>
        <w:tabs>
          <w:tab w:val="left" w:pos="1254"/>
        </w:tabs>
        <w:rPr>
          <w:rFonts w:ascii="Arial" w:hAnsi="Arial"/>
        </w:rPr>
      </w:pPr>
      <w:r w:rsidRPr="005E7D75">
        <w:rPr>
          <w:rFonts w:ascii="Arial" w:hAnsi="Arial"/>
        </w:rPr>
        <w:t xml:space="preserve">referent rozpočtu </w:t>
      </w:r>
      <w:r w:rsidRPr="005E7D75">
        <w:rPr>
          <w:rFonts w:ascii="Arial" w:hAnsi="Arial"/>
        </w:rPr>
        <w:tab/>
      </w:r>
      <w:r w:rsidRPr="005E7D75">
        <w:rPr>
          <w:rFonts w:ascii="Arial" w:hAnsi="Arial"/>
        </w:rPr>
        <w:tab/>
      </w:r>
      <w:r w:rsidRPr="005E7D75">
        <w:rPr>
          <w:rFonts w:ascii="Arial" w:hAnsi="Arial"/>
        </w:rPr>
        <w:tab/>
        <w:t xml:space="preserve"> </w:t>
      </w: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Bratislava</w:t>
      </w:r>
    </w:p>
    <w:p w:rsidR="005E7D75" w:rsidRDefault="005E7D75" w:rsidP="005E7D75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Máj 2017</w:t>
      </w:r>
    </w:p>
    <w:p w:rsidR="00C87BBB" w:rsidRPr="006D6F37" w:rsidRDefault="00C87BBB" w:rsidP="00C87BBB">
      <w:pPr>
        <w:shd w:val="clear" w:color="auto" w:fill="FFFFFF"/>
        <w:spacing w:before="331"/>
        <w:jc w:val="center"/>
        <w:rPr>
          <w:rFonts w:ascii="Arial" w:hAnsi="Arial" w:cs="Arial"/>
          <w:bCs/>
        </w:rPr>
      </w:pPr>
      <w:bookmarkStart w:id="0" w:name="_GoBack"/>
      <w:bookmarkEnd w:id="0"/>
      <w:r w:rsidRPr="006D6F37">
        <w:rPr>
          <w:rFonts w:ascii="Arial" w:hAnsi="Arial" w:cs="Arial"/>
          <w:bCs/>
        </w:rPr>
        <w:lastRenderedPageBreak/>
        <w:t>N á v r h   u z n e s e n i a</w:t>
      </w:r>
    </w:p>
    <w:p w:rsidR="00C87BBB" w:rsidRPr="006D6F37" w:rsidRDefault="00C87BBB" w:rsidP="00C87BBB">
      <w:pPr>
        <w:shd w:val="clear" w:color="auto" w:fill="FFFFFF"/>
        <w:spacing w:before="331"/>
        <w:ind w:left="86"/>
        <w:jc w:val="center"/>
        <w:rPr>
          <w:rFonts w:ascii="Arial" w:hAnsi="Arial" w:cs="Arial"/>
        </w:rPr>
      </w:pPr>
      <w:r w:rsidRPr="006D6F37">
        <w:rPr>
          <w:rFonts w:ascii="Arial" w:hAnsi="Arial" w:cs="Arial"/>
          <w:b/>
          <w:bCs/>
        </w:rPr>
        <w:t>UZNESENIE č. .. / 201</w:t>
      </w:r>
      <w:r>
        <w:rPr>
          <w:rFonts w:ascii="Arial" w:hAnsi="Arial" w:cs="Arial"/>
          <w:b/>
          <w:bCs/>
        </w:rPr>
        <w:t>7</w:t>
      </w:r>
    </w:p>
    <w:p w:rsidR="00C87BBB" w:rsidRDefault="00C87BBB" w:rsidP="00C87BBB">
      <w:pPr>
        <w:shd w:val="clear" w:color="auto" w:fill="FFFFFF"/>
        <w:spacing w:before="79"/>
        <w:ind w:left="58"/>
        <w:jc w:val="center"/>
        <w:rPr>
          <w:rFonts w:ascii="Arial" w:hAnsi="Arial" w:cs="Arial"/>
        </w:rPr>
      </w:pPr>
      <w:r w:rsidRPr="006D6F37">
        <w:rPr>
          <w:rFonts w:ascii="Arial" w:hAnsi="Arial" w:cs="Arial"/>
          <w:spacing w:val="-1"/>
        </w:rPr>
        <w:t xml:space="preserve">zo dňa  </w:t>
      </w:r>
      <w:r w:rsidR="00CD1BE4">
        <w:rPr>
          <w:rFonts w:ascii="Arial" w:hAnsi="Arial" w:cs="Arial"/>
          <w:spacing w:val="-1"/>
        </w:rPr>
        <w:t>1</w:t>
      </w:r>
      <w:r w:rsidR="00CC4E32">
        <w:rPr>
          <w:rFonts w:ascii="Arial" w:hAnsi="Arial" w:cs="Arial"/>
          <w:spacing w:val="-1"/>
        </w:rPr>
        <w:t>2</w:t>
      </w:r>
      <w:r w:rsidR="002E6AF2">
        <w:rPr>
          <w:rFonts w:ascii="Arial" w:hAnsi="Arial" w:cs="Arial"/>
          <w:spacing w:val="-1"/>
        </w:rPr>
        <w:t>.0</w:t>
      </w:r>
      <w:r w:rsidR="00CD1BE4">
        <w:rPr>
          <w:rFonts w:ascii="Arial" w:hAnsi="Arial" w:cs="Arial"/>
          <w:spacing w:val="-1"/>
        </w:rPr>
        <w:t>5</w:t>
      </w:r>
      <w:r w:rsidRPr="006D6F37">
        <w:rPr>
          <w:rFonts w:ascii="Arial" w:hAnsi="Arial" w:cs="Arial"/>
          <w:spacing w:val="-1"/>
        </w:rPr>
        <w:t xml:space="preserve">. </w:t>
      </w:r>
      <w:r w:rsidRPr="006D6F37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</w:p>
    <w:p w:rsidR="00C87BBB" w:rsidRDefault="00C87BBB" w:rsidP="00C87BBB">
      <w:pPr>
        <w:shd w:val="clear" w:color="auto" w:fill="FFFFFF"/>
        <w:spacing w:before="79"/>
        <w:ind w:left="58"/>
        <w:jc w:val="center"/>
      </w:pPr>
    </w:p>
    <w:p w:rsidR="00C87BBB" w:rsidRPr="006D1CA1" w:rsidRDefault="00C87BBB" w:rsidP="00C87BBB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</w:p>
    <w:p w:rsidR="002B1C73" w:rsidRDefault="00CD1BE4" w:rsidP="00C87BBB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 w:rsidRPr="00CD1BE4">
        <w:rPr>
          <w:rFonts w:asciiTheme="minorHAnsi" w:hAnsiTheme="minorHAnsi"/>
        </w:rPr>
        <w:t>Zastupiteľstvo Bratislavského samosprávneho kraja po prerokovaní materiálu</w:t>
      </w:r>
    </w:p>
    <w:p w:rsidR="00CD1BE4" w:rsidRDefault="00CD1BE4" w:rsidP="00C87BBB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CD1BE4" w:rsidRDefault="00CD1BE4" w:rsidP="00CD1BE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2B1C73" w:rsidRPr="00A524E4" w:rsidRDefault="00F12221" w:rsidP="003E7519">
      <w:pPr>
        <w:pStyle w:val="Odsekzoznamu"/>
        <w:numPr>
          <w:ilvl w:val="0"/>
          <w:numId w:val="1"/>
        </w:numPr>
        <w:shd w:val="clear" w:color="auto" w:fill="FFFFFF"/>
        <w:spacing w:before="79" w:line="240" w:lineRule="auto"/>
        <w:jc w:val="center"/>
        <w:rPr>
          <w:sz w:val="24"/>
          <w:szCs w:val="24"/>
        </w:rPr>
      </w:pPr>
      <w:r>
        <w:rPr>
          <w:rFonts w:cs="Arial"/>
          <w:b/>
          <w:bCs/>
          <w:spacing w:val="54"/>
          <w:sz w:val="24"/>
          <w:szCs w:val="24"/>
        </w:rPr>
        <w:t>s</w:t>
      </w:r>
      <w:r w:rsidR="00C87BBB" w:rsidRPr="006D1CA1">
        <w:rPr>
          <w:rFonts w:cs="Arial"/>
          <w:b/>
          <w:bCs/>
          <w:spacing w:val="54"/>
          <w:sz w:val="24"/>
          <w:szCs w:val="24"/>
        </w:rPr>
        <w:t>chvaľuje</w:t>
      </w:r>
    </w:p>
    <w:p w:rsidR="00A524E4" w:rsidRPr="00CD1BE4" w:rsidRDefault="00A524E4" w:rsidP="00A524E4">
      <w:pPr>
        <w:pStyle w:val="Odsekzoznamu"/>
        <w:shd w:val="clear" w:color="auto" w:fill="FFFFFF"/>
        <w:spacing w:before="79" w:line="240" w:lineRule="auto"/>
        <w:ind w:left="418"/>
        <w:rPr>
          <w:sz w:val="24"/>
          <w:szCs w:val="24"/>
        </w:rPr>
      </w:pPr>
    </w:p>
    <w:p w:rsidR="00EF23B2" w:rsidRDefault="00EF23B2" w:rsidP="00A524E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 základe Uznesení </w:t>
      </w:r>
      <w:r w:rsidR="00EA6525">
        <w:rPr>
          <w:rFonts w:asciiTheme="minorHAnsi" w:hAnsiTheme="minorHAnsi"/>
        </w:rPr>
        <w:t xml:space="preserve">Zastupiteľstva Bratislavského samosprávneho kraja </w:t>
      </w:r>
      <w:r>
        <w:rPr>
          <w:rFonts w:asciiTheme="minorHAnsi" w:hAnsiTheme="minorHAnsi"/>
        </w:rPr>
        <w:t xml:space="preserve">č. 123/2016, </w:t>
      </w:r>
      <w:r w:rsidR="0019216C">
        <w:rPr>
          <w:rFonts w:asciiTheme="minorHAnsi" w:hAnsiTheme="minorHAnsi"/>
        </w:rPr>
        <w:t>č. 7/2017, č. 26/2017</w:t>
      </w:r>
      <w:r>
        <w:rPr>
          <w:rFonts w:asciiTheme="minorHAnsi" w:hAnsiTheme="minorHAnsi"/>
        </w:rPr>
        <w:t xml:space="preserve"> </w:t>
      </w:r>
      <w:r w:rsidR="00C11E8F">
        <w:rPr>
          <w:rFonts w:asciiTheme="minorHAnsi" w:hAnsiTheme="minorHAnsi"/>
        </w:rPr>
        <w:t>a Návrh</w:t>
      </w:r>
      <w:r w:rsidR="00A524E4">
        <w:rPr>
          <w:rFonts w:asciiTheme="minorHAnsi" w:hAnsiTheme="minorHAnsi"/>
        </w:rPr>
        <w:t>u</w:t>
      </w:r>
      <w:r w:rsidR="00C11E8F">
        <w:rPr>
          <w:rFonts w:asciiTheme="minorHAnsi" w:hAnsiTheme="minorHAnsi"/>
        </w:rPr>
        <w:t xml:space="preserve"> na zmenu rozpočtu BSK predloženú Zastupiteľstvu BSK dňa 12.5.2017</w:t>
      </w:r>
    </w:p>
    <w:p w:rsidR="00EF23B2" w:rsidRDefault="00EF23B2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CD1BE4" w:rsidRDefault="00EF23B2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5E2656">
        <w:rPr>
          <w:rFonts w:asciiTheme="minorHAnsi" w:hAnsiTheme="minorHAnsi"/>
        </w:rPr>
        <w:t xml:space="preserve">.1 </w:t>
      </w:r>
      <w:r w:rsidR="00CD1BE4" w:rsidRPr="005E2656">
        <w:rPr>
          <w:rFonts w:asciiTheme="minorHAnsi" w:hAnsiTheme="minorHAnsi"/>
        </w:rPr>
        <w:t xml:space="preserve">čerpanie </w:t>
      </w:r>
      <w:r>
        <w:rPr>
          <w:rFonts w:asciiTheme="minorHAnsi" w:hAnsiTheme="minorHAnsi"/>
        </w:rPr>
        <w:t>úveru</w:t>
      </w:r>
      <w:r w:rsidR="00CD1BE4" w:rsidRPr="005E2656">
        <w:rPr>
          <w:rFonts w:asciiTheme="minorHAnsi" w:hAnsiTheme="minorHAnsi"/>
        </w:rPr>
        <w:t xml:space="preserve"> z úverového rámca od Európskej investičnej banky</w:t>
      </w:r>
      <w:r w:rsidR="00701F8A">
        <w:rPr>
          <w:rFonts w:asciiTheme="minorHAnsi" w:hAnsiTheme="minorHAnsi"/>
        </w:rPr>
        <w:t xml:space="preserve"> vo výške do 10 000 </w:t>
      </w:r>
      <w:proofErr w:type="spellStart"/>
      <w:r w:rsidR="00701F8A">
        <w:rPr>
          <w:rFonts w:asciiTheme="minorHAnsi" w:hAnsiTheme="minorHAnsi"/>
        </w:rPr>
        <w:t>000</w:t>
      </w:r>
      <w:proofErr w:type="spellEnd"/>
      <w:r w:rsidR="00701F8A">
        <w:rPr>
          <w:rFonts w:asciiTheme="minorHAnsi" w:hAnsiTheme="minorHAnsi"/>
        </w:rPr>
        <w:t xml:space="preserve">,- </w:t>
      </w:r>
      <w:r w:rsidR="005E2656" w:rsidRPr="005E2656">
        <w:rPr>
          <w:rFonts w:asciiTheme="minorHAnsi" w:hAnsiTheme="minorHAnsi"/>
        </w:rPr>
        <w:t>EUR za štandardných úverových podmienok Európskej investičnej banky</w:t>
      </w:r>
      <w:r w:rsidR="00144150">
        <w:rPr>
          <w:rFonts w:asciiTheme="minorHAnsi" w:hAnsiTheme="minorHAnsi"/>
        </w:rPr>
        <w:t>, pričom:</w:t>
      </w:r>
    </w:p>
    <w:p w:rsidR="00144150" w:rsidRDefault="00144150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výška </w:t>
      </w:r>
      <w:r w:rsidR="0002784E">
        <w:rPr>
          <w:rFonts w:asciiTheme="minorHAnsi" w:hAnsiTheme="minorHAnsi"/>
        </w:rPr>
        <w:t>úveru</w:t>
      </w:r>
      <w:r>
        <w:rPr>
          <w:rFonts w:asciiTheme="minorHAnsi" w:hAnsiTheme="minorHAnsi"/>
        </w:rPr>
        <w:t xml:space="preserve"> </w:t>
      </w:r>
      <w:r w:rsidR="00547332">
        <w:rPr>
          <w:rFonts w:asciiTheme="minorHAnsi" w:hAnsiTheme="minorHAnsi"/>
        </w:rPr>
        <w:t xml:space="preserve">je </w:t>
      </w:r>
      <w:r>
        <w:rPr>
          <w:rFonts w:asciiTheme="minorHAnsi" w:hAnsiTheme="minorHAnsi"/>
        </w:rPr>
        <w:t>do 10 000 </w:t>
      </w:r>
      <w:proofErr w:type="spellStart"/>
      <w:r>
        <w:rPr>
          <w:rFonts w:asciiTheme="minorHAnsi" w:hAnsiTheme="minorHAnsi"/>
        </w:rPr>
        <w:t>000</w:t>
      </w:r>
      <w:proofErr w:type="spellEnd"/>
      <w:r>
        <w:rPr>
          <w:rFonts w:asciiTheme="minorHAnsi" w:hAnsiTheme="minorHAnsi"/>
        </w:rPr>
        <w:t>,- EUR</w:t>
      </w:r>
    </w:p>
    <w:p w:rsidR="00144150" w:rsidRDefault="00547332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splatnosť </w:t>
      </w:r>
      <w:r w:rsidR="0002784E">
        <w:rPr>
          <w:rFonts w:asciiTheme="minorHAnsi" w:hAnsiTheme="minorHAnsi"/>
        </w:rPr>
        <w:t>úveru</w:t>
      </w:r>
      <w:r>
        <w:rPr>
          <w:rFonts w:asciiTheme="minorHAnsi" w:hAnsiTheme="minorHAnsi"/>
        </w:rPr>
        <w:t xml:space="preserve"> -</w:t>
      </w:r>
      <w:r w:rsidR="00144150">
        <w:rPr>
          <w:rFonts w:asciiTheme="minorHAnsi" w:hAnsiTheme="minorHAnsi"/>
        </w:rPr>
        <w:t xml:space="preserve"> </w:t>
      </w:r>
      <w:r w:rsidR="009C0356">
        <w:rPr>
          <w:rFonts w:asciiTheme="minorHAnsi" w:hAnsiTheme="minorHAnsi"/>
        </w:rPr>
        <w:t>25</w:t>
      </w:r>
      <w:r w:rsidR="00144150">
        <w:rPr>
          <w:rFonts w:asciiTheme="minorHAnsi" w:hAnsiTheme="minorHAnsi"/>
        </w:rPr>
        <w:t xml:space="preserve"> rokov</w:t>
      </w:r>
    </w:p>
    <w:p w:rsidR="00144150" w:rsidRPr="005E2656" w:rsidRDefault="00144150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úroková sadzba 6M EURIBOR + marža </w:t>
      </w:r>
      <w:r w:rsidR="00547332">
        <w:rPr>
          <w:rFonts w:asciiTheme="minorHAnsi" w:hAnsiTheme="minorHAnsi"/>
        </w:rPr>
        <w:t>banky</w:t>
      </w:r>
    </w:p>
    <w:p w:rsidR="00CD1BE4" w:rsidRPr="005E2656" w:rsidRDefault="00CD1BE4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CD1BE4" w:rsidRPr="005E2656" w:rsidRDefault="006D4A87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CD1BE4" w:rsidRPr="005E2656">
        <w:rPr>
          <w:rFonts w:asciiTheme="minorHAnsi" w:hAnsiTheme="minorHAnsi"/>
        </w:rPr>
        <w:t xml:space="preserve">.2 </w:t>
      </w:r>
      <w:r w:rsidR="005E2656" w:rsidRPr="005E2656">
        <w:rPr>
          <w:rFonts w:asciiTheme="minorHAnsi" w:hAnsiTheme="minorHAnsi"/>
        </w:rPr>
        <w:t xml:space="preserve">čerpanie </w:t>
      </w:r>
      <w:r w:rsidR="00CD1BE4" w:rsidRPr="00CD1BE4">
        <w:rPr>
          <w:rFonts w:asciiTheme="minorHAnsi" w:hAnsiTheme="minorHAnsi"/>
        </w:rPr>
        <w:t xml:space="preserve">úveru </w:t>
      </w:r>
      <w:r w:rsidR="00B75DAE">
        <w:rPr>
          <w:rFonts w:asciiTheme="minorHAnsi" w:hAnsiTheme="minorHAnsi"/>
        </w:rPr>
        <w:t>zo</w:t>
      </w:r>
      <w:r w:rsidR="00CD1BE4" w:rsidRPr="00CD1BE4">
        <w:rPr>
          <w:rFonts w:asciiTheme="minorHAnsi" w:hAnsiTheme="minorHAnsi"/>
        </w:rPr>
        <w:t xml:space="preserve"> </w:t>
      </w:r>
      <w:r w:rsidR="00CD1BE4" w:rsidRPr="005E2656">
        <w:rPr>
          <w:rFonts w:asciiTheme="minorHAnsi" w:hAnsiTheme="minorHAnsi"/>
        </w:rPr>
        <w:t>Slovenskej sporiteľne, a.s.</w:t>
      </w:r>
      <w:r w:rsidR="00CD1BE4" w:rsidRPr="00CD1BE4">
        <w:rPr>
          <w:rFonts w:asciiTheme="minorHAnsi" w:hAnsiTheme="minorHAnsi"/>
        </w:rPr>
        <w:t xml:space="preserve">, vo výške do </w:t>
      </w:r>
      <w:r w:rsidR="00CD1BE4" w:rsidRPr="005E2656">
        <w:rPr>
          <w:rFonts w:asciiTheme="minorHAnsi" w:hAnsiTheme="minorHAnsi"/>
        </w:rPr>
        <w:t>10 000</w:t>
      </w:r>
      <w:r w:rsidR="005E2656" w:rsidRPr="005E2656">
        <w:rPr>
          <w:rFonts w:asciiTheme="minorHAnsi" w:hAnsiTheme="minorHAnsi"/>
        </w:rPr>
        <w:t xml:space="preserve"> 000,00 </w:t>
      </w:r>
      <w:r w:rsidR="000A0FDC">
        <w:rPr>
          <w:rFonts w:asciiTheme="minorHAnsi" w:hAnsiTheme="minorHAnsi"/>
        </w:rPr>
        <w:t>EUR</w:t>
      </w:r>
      <w:r w:rsidR="005E2656" w:rsidRPr="005E2656">
        <w:rPr>
          <w:rFonts w:asciiTheme="minorHAnsi" w:hAnsiTheme="minorHAnsi"/>
        </w:rPr>
        <w:t xml:space="preserve"> </w:t>
      </w:r>
      <w:r w:rsidR="00CD1BE4" w:rsidRPr="00CD1BE4">
        <w:rPr>
          <w:rFonts w:asciiTheme="minorHAnsi" w:hAnsiTheme="minorHAnsi"/>
        </w:rPr>
        <w:t>za týchto úverových podmienok:</w:t>
      </w:r>
    </w:p>
    <w:p w:rsidR="00CD1BE4" w:rsidRDefault="00CD1BE4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 w:rsidRPr="00CD1BE4">
        <w:rPr>
          <w:rFonts w:asciiTheme="minorHAnsi" w:hAnsiTheme="minorHAnsi"/>
        </w:rPr>
        <w:t xml:space="preserve">- výška úveru do </w:t>
      </w:r>
      <w:r w:rsidRPr="005E2656">
        <w:rPr>
          <w:rFonts w:asciiTheme="minorHAnsi" w:hAnsiTheme="minorHAnsi"/>
        </w:rPr>
        <w:t>10 000</w:t>
      </w:r>
      <w:r w:rsidRPr="00CD1BE4">
        <w:rPr>
          <w:rFonts w:asciiTheme="minorHAnsi" w:hAnsiTheme="minorHAnsi"/>
        </w:rPr>
        <w:t xml:space="preserve"> 000,00 </w:t>
      </w:r>
      <w:r w:rsidR="000A0FDC">
        <w:rPr>
          <w:rFonts w:asciiTheme="minorHAnsi" w:hAnsiTheme="minorHAnsi"/>
        </w:rPr>
        <w:t>EUR</w:t>
      </w:r>
    </w:p>
    <w:p w:rsidR="00EF23B2" w:rsidRPr="00CD1BE4" w:rsidRDefault="00EF23B2" w:rsidP="00EF23B2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 w:rsidRPr="00CD1BE4">
        <w:rPr>
          <w:rFonts w:asciiTheme="minorHAnsi" w:hAnsiTheme="minorHAnsi"/>
        </w:rPr>
        <w:t>- splatnosť 15 rokov</w:t>
      </w:r>
    </w:p>
    <w:p w:rsidR="00CD1BE4" w:rsidRPr="00CD1BE4" w:rsidRDefault="00CD1BE4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 w:rsidRPr="00CD1BE4">
        <w:rPr>
          <w:rFonts w:asciiTheme="minorHAnsi" w:hAnsiTheme="minorHAnsi"/>
        </w:rPr>
        <w:t xml:space="preserve">- úroková sadza: </w:t>
      </w:r>
      <w:r w:rsidR="005E2656" w:rsidRPr="005E2656">
        <w:rPr>
          <w:rFonts w:asciiTheme="minorHAnsi" w:hAnsiTheme="minorHAnsi"/>
        </w:rPr>
        <w:t>12</w:t>
      </w:r>
      <w:r w:rsidRPr="00CD1BE4">
        <w:rPr>
          <w:rFonts w:asciiTheme="minorHAnsi" w:hAnsiTheme="minorHAnsi"/>
        </w:rPr>
        <w:t xml:space="preserve">M EURIBOR + </w:t>
      </w:r>
      <w:r w:rsidRPr="005E2656">
        <w:rPr>
          <w:rFonts w:asciiTheme="minorHAnsi" w:hAnsiTheme="minorHAnsi"/>
        </w:rPr>
        <w:t>0,27</w:t>
      </w:r>
      <w:r w:rsidRPr="00CD1BE4">
        <w:rPr>
          <w:rFonts w:asciiTheme="minorHAnsi" w:hAnsiTheme="minorHAnsi"/>
        </w:rPr>
        <w:t xml:space="preserve"> % p. a.</w:t>
      </w:r>
    </w:p>
    <w:p w:rsidR="00144150" w:rsidRDefault="00144150" w:rsidP="005E2656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990D96" w:rsidRDefault="006D4A87" w:rsidP="0002784E">
      <w:pPr>
        <w:shd w:val="clear" w:color="auto" w:fill="FFFFFF"/>
        <w:spacing w:after="120"/>
        <w:ind w:left="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144150">
        <w:rPr>
          <w:rFonts w:asciiTheme="minorHAnsi" w:hAnsiTheme="minorHAnsi"/>
        </w:rPr>
        <w:t xml:space="preserve">.3 </w:t>
      </w:r>
      <w:r>
        <w:rPr>
          <w:rFonts w:asciiTheme="minorHAnsi" w:hAnsiTheme="minorHAnsi"/>
        </w:rPr>
        <w:t>možnosť použitia</w:t>
      </w:r>
      <w:r w:rsidR="00144150">
        <w:rPr>
          <w:rFonts w:asciiTheme="minorHAnsi" w:hAnsiTheme="minorHAnsi"/>
        </w:rPr>
        <w:t xml:space="preserve"> finančných prostriedkov získaných z</w:t>
      </w:r>
      <w:r w:rsidR="000C696B">
        <w:rPr>
          <w:rFonts w:asciiTheme="minorHAnsi" w:hAnsiTheme="minorHAnsi"/>
        </w:rPr>
        <w:t xml:space="preserve"> čerpania </w:t>
      </w:r>
      <w:r w:rsidR="00144150">
        <w:rPr>
          <w:rFonts w:asciiTheme="minorHAnsi" w:hAnsiTheme="minorHAnsi"/>
        </w:rPr>
        <w:t xml:space="preserve">úverov </w:t>
      </w:r>
      <w:r>
        <w:rPr>
          <w:rFonts w:asciiTheme="minorHAnsi" w:hAnsiTheme="minorHAnsi"/>
        </w:rPr>
        <w:t>v</w:t>
      </w:r>
      <w:r w:rsidR="000C696B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celkovej výške </w:t>
      </w:r>
      <w:r w:rsidR="00404B7F">
        <w:rPr>
          <w:rFonts w:asciiTheme="minorHAnsi" w:hAnsiTheme="minorHAnsi"/>
        </w:rPr>
        <w:t>18 400 733,31</w:t>
      </w:r>
      <w:r>
        <w:rPr>
          <w:rFonts w:asciiTheme="minorHAnsi" w:hAnsiTheme="minorHAnsi"/>
        </w:rPr>
        <w:t xml:space="preserve"> EUR </w:t>
      </w:r>
      <w:r w:rsidR="00144150">
        <w:rPr>
          <w:rFonts w:asciiTheme="minorHAnsi" w:hAnsiTheme="minorHAnsi"/>
        </w:rPr>
        <w:t xml:space="preserve">v zmysle bodov </w:t>
      </w:r>
      <w:r w:rsidR="00943258">
        <w:rPr>
          <w:rFonts w:asciiTheme="minorHAnsi" w:hAnsiTheme="minorHAnsi"/>
        </w:rPr>
        <w:t>A</w:t>
      </w:r>
      <w:r w:rsidR="00144150">
        <w:rPr>
          <w:rFonts w:asciiTheme="minorHAnsi" w:hAnsiTheme="minorHAnsi"/>
        </w:rPr>
        <w:t>.1 a </w:t>
      </w:r>
      <w:r w:rsidR="00943258">
        <w:rPr>
          <w:rFonts w:asciiTheme="minorHAnsi" w:hAnsiTheme="minorHAnsi"/>
        </w:rPr>
        <w:t>A</w:t>
      </w:r>
      <w:r w:rsidR="00144150">
        <w:rPr>
          <w:rFonts w:asciiTheme="minorHAnsi" w:hAnsiTheme="minorHAnsi"/>
        </w:rPr>
        <w:t xml:space="preserve">.2 </w:t>
      </w:r>
      <w:r>
        <w:rPr>
          <w:rFonts w:asciiTheme="minorHAnsi" w:hAnsiTheme="minorHAnsi"/>
        </w:rPr>
        <w:t xml:space="preserve">výhradne </w:t>
      </w:r>
      <w:r w:rsidR="00144150">
        <w:rPr>
          <w:rFonts w:asciiTheme="minorHAnsi" w:hAnsiTheme="minorHAnsi"/>
        </w:rPr>
        <w:t>na nasledovné projekty</w:t>
      </w:r>
      <w:r>
        <w:rPr>
          <w:rFonts w:asciiTheme="minorHAnsi" w:hAnsiTheme="minorHAnsi"/>
        </w:rPr>
        <w:t xml:space="preserve"> a vo výške uvedených limitov výdavkov pre jednotlivé projekty</w:t>
      </w:r>
      <w:r w:rsidR="00144150">
        <w:rPr>
          <w:rFonts w:asciiTheme="minorHAnsi" w:hAnsiTheme="minorHAnsi"/>
        </w:rPr>
        <w:t>:</w:t>
      </w:r>
    </w:p>
    <w:p w:rsidR="00943258" w:rsidRDefault="00943258" w:rsidP="0002784E">
      <w:pPr>
        <w:shd w:val="clear" w:color="auto" w:fill="FFFFFF"/>
        <w:spacing w:after="120"/>
        <w:ind w:left="57"/>
        <w:jc w:val="both"/>
        <w:rPr>
          <w:rFonts w:asciiTheme="minorHAnsi" w:hAnsiTheme="minorHAnsi"/>
        </w:rPr>
      </w:pP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4961"/>
        <w:gridCol w:w="2127"/>
      </w:tblGrid>
      <w:tr w:rsidR="00EA6525" w:rsidRPr="0096396E" w:rsidTr="00C11E8F">
        <w:trPr>
          <w:trHeight w:val="156"/>
        </w:trPr>
        <w:tc>
          <w:tcPr>
            <w:tcW w:w="9513" w:type="dxa"/>
            <w:gridSpan w:val="3"/>
            <w:shd w:val="clear" w:color="auto" w:fill="D9D9D9" w:themeFill="background1" w:themeFillShade="D9"/>
          </w:tcPr>
          <w:p w:rsidR="00EA6525" w:rsidRPr="00B75DAE" w:rsidRDefault="00EA6525" w:rsidP="00C11E8F">
            <w:pPr>
              <w:rPr>
                <w:rFonts w:ascii="Calibri" w:hAnsi="Calibri" w:cs="Arial"/>
                <w:b/>
                <w:sz w:val="20"/>
                <w:szCs w:val="20"/>
                <w:highlight w:val="yellow"/>
              </w:rPr>
            </w:pPr>
            <w:r w:rsidRPr="00EA6525">
              <w:rPr>
                <w:rFonts w:ascii="Calibri" w:hAnsi="Calibri" w:cs="Arial"/>
                <w:b/>
                <w:sz w:val="20"/>
                <w:szCs w:val="20"/>
              </w:rPr>
              <w:t>Projekty, ktoré budú financované prostredníctvom úveru na</w:t>
            </w:r>
            <w:r w:rsidR="00C11E8F">
              <w:rPr>
                <w:rFonts w:ascii="Calibri" w:hAnsi="Calibri" w:cs="Arial"/>
                <w:b/>
                <w:sz w:val="20"/>
                <w:szCs w:val="20"/>
              </w:rPr>
              <w:t xml:space="preserve"> základe Uznesenia BSK č. 7/2017 zo dňa 17.2.2017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shd w:val="clear" w:color="auto" w:fill="auto"/>
          </w:tcPr>
          <w:p w:rsidR="0002784E" w:rsidRPr="00C464C9" w:rsidRDefault="0002784E" w:rsidP="00943258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Verejný obstarávateľ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C464C9" w:rsidRDefault="0002784E" w:rsidP="00943258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EA6525" w:rsidRDefault="0002784E" w:rsidP="00620BB2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A6525">
              <w:rPr>
                <w:rFonts w:ascii="Calibri" w:hAnsi="Calibri" w:cs="Arial"/>
                <w:b/>
                <w:sz w:val="20"/>
                <w:szCs w:val="20"/>
              </w:rPr>
              <w:t>Suma v</w:t>
            </w:r>
            <w:r w:rsidRPr="00EA6525">
              <w:rPr>
                <w:rFonts w:ascii="Calibri" w:hAnsi="Calibri" w:cs="Arial"/>
              </w:rPr>
              <w:t xml:space="preserve"> </w:t>
            </w:r>
            <w:r w:rsidRPr="00EA6525">
              <w:rPr>
                <w:rFonts w:ascii="Calibri" w:hAnsi="Calibri" w:cs="Arial"/>
                <w:b/>
                <w:sz w:val="20"/>
                <w:szCs w:val="20"/>
              </w:rPr>
              <w:t>€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shd w:val="clear" w:color="auto" w:fill="auto"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RCB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Rekonštrukcia cesty III/1082, 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križ</w:t>
            </w:r>
            <w:proofErr w:type="spellEnd"/>
            <w:r w:rsidRPr="008A4C38">
              <w:rPr>
                <w:rFonts w:ascii="Calibri" w:hAnsi="Calibri" w:cs="Arial"/>
                <w:sz w:val="18"/>
                <w:szCs w:val="18"/>
              </w:rPr>
              <w:t>. s III/1083 – hranica BA (Slovenský Grob – Vajnory) km 1,000 – 6,400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A4C38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1 000 000,00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Poliklinika Karlova Ves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Kompletná rekonštrukcia polikliniky - oprava terasy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0D96" w:rsidRPr="00C36BD7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1 170 000,00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DSS K. 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Matulaya</w:t>
            </w:r>
            <w:proofErr w:type="spellEnd"/>
            <w:r w:rsidRPr="008A4C38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Investičná podpora zariadení sociálnych služieb na Hontianskej 12 (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debarierizácia</w:t>
            </w:r>
            <w:proofErr w:type="spellEnd"/>
            <w:r w:rsidRPr="008A4C38">
              <w:rPr>
                <w:rFonts w:ascii="Calibri" w:hAnsi="Calibri" w:cs="Arial"/>
                <w:sz w:val="18"/>
                <w:szCs w:val="18"/>
              </w:rPr>
              <w:t xml:space="preserve"> a zvýšenie 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ener</w:t>
            </w:r>
            <w:proofErr w:type="spellEnd"/>
            <w:r w:rsidRPr="008A4C38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efek</w:t>
            </w:r>
            <w:proofErr w:type="spellEnd"/>
            <w:r w:rsidRPr="008A4C38">
              <w:rPr>
                <w:rFonts w:ascii="Calibri" w:hAnsi="Calibri" w:cs="Arial"/>
                <w:sz w:val="18"/>
                <w:szCs w:val="18"/>
              </w:rPr>
              <w:t xml:space="preserve">. objektu) a Hontianskej 16 (zvýšenie 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ener</w:t>
            </w:r>
            <w:proofErr w:type="spellEnd"/>
            <w:r w:rsidRPr="008A4C38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efek</w:t>
            </w:r>
            <w:proofErr w:type="spellEnd"/>
            <w:r w:rsidRPr="008A4C38">
              <w:rPr>
                <w:rFonts w:ascii="Calibri" w:hAnsi="Calibri" w:cs="Arial"/>
                <w:sz w:val="18"/>
                <w:szCs w:val="18"/>
              </w:rPr>
              <w:t xml:space="preserve">. objektu) Vypracovanie realizačného projektu (11 tis. €) a realizácia stavebných prác (204 tis. €)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A4C38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11 000,00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DSS a ZPS Rača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Podpora 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deinštitucionalizácie</w:t>
            </w:r>
            <w:proofErr w:type="spellEnd"/>
            <w:r w:rsidRPr="008A4C38">
              <w:rPr>
                <w:rFonts w:ascii="Calibri" w:hAnsi="Calibri" w:cs="Arial"/>
                <w:sz w:val="18"/>
                <w:szCs w:val="18"/>
              </w:rPr>
              <w:t xml:space="preserve"> sociálnych služieb v Bratislave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A4C38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63 000,00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br/>
              <w:t>SOŠ Na pántoch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Rekonštrukcia a modernizácia športového areálu, telocvične, bazénov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A4C38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394 200,00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Gymnázium J. </w:t>
            </w:r>
            <w:proofErr w:type="spellStart"/>
            <w:r w:rsidRPr="008A4C38">
              <w:rPr>
                <w:rFonts w:ascii="Calibri" w:hAnsi="Calibri" w:cs="Arial"/>
                <w:sz w:val="18"/>
                <w:szCs w:val="18"/>
              </w:rPr>
              <w:t>Papánka</w:t>
            </w:r>
            <w:proofErr w:type="spellEnd"/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A4C38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>Rekonštrukcia objektu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A4C38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A4C38">
              <w:rPr>
                <w:rFonts w:ascii="Calibri" w:hAnsi="Calibri" w:cs="Arial"/>
                <w:sz w:val="18"/>
                <w:szCs w:val="18"/>
              </w:rPr>
              <w:t xml:space="preserve">807 000,00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lastRenderedPageBreak/>
              <w:t xml:space="preserve">BSK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Modernizácia cesty III. triedy 1113 Rohožník - Malacky a vybudovanie obchvatu obce Rohožník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956 000,00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Poliklinika Karlova Ves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Kompletná rekonštrukcia  - odovzdávacia stanica tepla (OST)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480 000,00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Bratislavské bábkové divadlo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Rekonštrukcia Bratislavského bábkového divadla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1 350 000,00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DSS Stupava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Pamiatková obnova kaštieľa a parku v Stupave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500 000,00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MOS Modra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Kultúrno-kreatívne oživenie tradícií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152 000,00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DSS a ZBP MEREMA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Podpora </w:t>
            </w:r>
            <w:proofErr w:type="spellStart"/>
            <w:r w:rsidRPr="00832BC9">
              <w:rPr>
                <w:rFonts w:ascii="Calibri" w:hAnsi="Calibri" w:cs="Arial"/>
                <w:sz w:val="18"/>
                <w:szCs w:val="18"/>
              </w:rPr>
              <w:t>deinštitucionalizácie</w:t>
            </w:r>
            <w:proofErr w:type="spellEnd"/>
            <w:r w:rsidRPr="00832BC9">
              <w:rPr>
                <w:rFonts w:ascii="Calibri" w:hAnsi="Calibri" w:cs="Arial"/>
                <w:sz w:val="18"/>
                <w:szCs w:val="18"/>
              </w:rPr>
              <w:t xml:space="preserve"> sociálnych služieb v okrese Pezinok. Vypracovanie realizačného projektu a získanie staveb</w:t>
            </w:r>
            <w:r>
              <w:rPr>
                <w:rFonts w:ascii="Calibri" w:hAnsi="Calibri" w:cs="Arial"/>
                <w:sz w:val="18"/>
                <w:szCs w:val="18"/>
              </w:rPr>
              <w:t>ného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povolenia (210 tis. €)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210 000,00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DSS a ZPS Rača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832BC9">
              <w:rPr>
                <w:rFonts w:ascii="Calibri" w:hAnsi="Calibri" w:cs="Arial"/>
                <w:sz w:val="18"/>
                <w:szCs w:val="18"/>
              </w:rPr>
              <w:t>Debarierizácia</w:t>
            </w:r>
            <w:proofErr w:type="spellEnd"/>
            <w:r w:rsidRPr="00832BC9">
              <w:rPr>
                <w:rFonts w:ascii="Calibri" w:hAnsi="Calibri" w:cs="Arial"/>
                <w:sz w:val="18"/>
                <w:szCs w:val="18"/>
              </w:rPr>
              <w:t xml:space="preserve"> areálu a zateplenie </w:t>
            </w:r>
            <w:proofErr w:type="spellStart"/>
            <w:r w:rsidRPr="00832BC9">
              <w:rPr>
                <w:rFonts w:ascii="Calibri" w:hAnsi="Calibri" w:cs="Arial"/>
                <w:sz w:val="18"/>
                <w:szCs w:val="18"/>
              </w:rPr>
              <w:t>detaš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. pracoviska na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Podbr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.</w:t>
            </w:r>
            <w:r w:rsidRPr="00832BC9">
              <w:rPr>
                <w:rFonts w:ascii="Calibri" w:hAnsi="Calibri" w:cs="Arial"/>
                <w:sz w:val="18"/>
                <w:szCs w:val="18"/>
              </w:rPr>
              <w:t xml:space="preserve"> 28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57 000,00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Gymnázium L. Novomeského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Rekonštrukcia a modernizácia športového areálu, telocvične, bazénov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136 000,00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SOŠ Polygrafická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Rekonštrukcia a investičná podpora COVP pre oblasť polygrafie a médií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300 000,00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SOŠ Kysucká Senec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832BC9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>Oprava bloku 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832BC9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32BC9">
              <w:rPr>
                <w:rFonts w:ascii="Calibri" w:hAnsi="Calibri" w:cs="Arial"/>
                <w:sz w:val="18"/>
                <w:szCs w:val="18"/>
              </w:rPr>
              <w:t xml:space="preserve">307 200,00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BSK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Cyklolávka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Šúrsky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 xml:space="preserve"> kanál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55 000,00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Poliklinika Karlova Ves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Kompletná rekonštrukcia polikliniky </w:t>
            </w:r>
            <w:r>
              <w:rPr>
                <w:rFonts w:ascii="Calibri" w:hAnsi="Calibri" w:cs="Arial"/>
                <w:sz w:val="18"/>
                <w:szCs w:val="18"/>
              </w:rPr>
              <w:t>- interiéry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1 430 000,00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DSS prof. K. 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Matulaya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Investičná podpora zariadení sociálnych služieb na Hontianskej 12 (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debarierizácia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 xml:space="preserve"> a zvýšenie 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ener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efek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 xml:space="preserve">. objektu) a Hontianskej 16 (zvýšenie 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ener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efek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>. objektu). Realizácia stavebných prác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204 000,00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DSS a ZPS Rača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Debarierizácia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</w:rPr>
              <w:t xml:space="preserve">areálu a zateplenie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detaš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.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pracoviska na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Podbr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.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28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193 000,00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DSS a 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ZpS</w:t>
            </w:r>
            <w:proofErr w:type="spellEnd"/>
            <w:r w:rsidRPr="00E04EDC">
              <w:rPr>
                <w:rFonts w:ascii="Calibri" w:hAnsi="Calibri" w:cs="Arial"/>
                <w:sz w:val="18"/>
                <w:szCs w:val="18"/>
              </w:rPr>
              <w:t xml:space="preserve"> Pezinok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Vybudovanie elektronického požiarneho systému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150 000,00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OA Račianska</w:t>
            </w:r>
            <w:r w:rsidRPr="00E04EDC">
              <w:rPr>
                <w:rFonts w:ascii="Calibri" w:hAnsi="Calibri" w:cs="Arial"/>
                <w:sz w:val="18"/>
                <w:szCs w:val="18"/>
              </w:rPr>
              <w:t xml:space="preserve"> 107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Rekonštrukcia a modernizácia športového areálu, telocvične, bazénov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360 000,00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SOŠ chemická Vlčie hrdlo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Rekonštrukcia a modernizácia športového areálu, telocvične, bazénov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71 000,00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SPŠE K. </w:t>
            </w:r>
            <w:proofErr w:type="spellStart"/>
            <w:r w:rsidRPr="00E04EDC">
              <w:rPr>
                <w:rFonts w:ascii="Calibri" w:hAnsi="Calibri" w:cs="Arial"/>
                <w:sz w:val="18"/>
                <w:szCs w:val="18"/>
              </w:rPr>
              <w:t>Adlera</w:t>
            </w:r>
            <w:proofErr w:type="spellEnd"/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Rekonštrukcia a modernizácia vonkajšieho športového areálu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50 000,00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Gymnázium A. Einsteina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Rekonštrukcia a modernizácia športového areálu -vypracovanie realizačného projektu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20 000,00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Pedagogická a sociálna akadémia Bratislava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04EDC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>Obnova Pedagogickej a sociálnej akadémie. Vybudovanie materskej škôlky v priestoroch školy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E04EDC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E04EDC">
              <w:rPr>
                <w:rFonts w:ascii="Calibri" w:hAnsi="Calibri" w:cs="Arial"/>
                <w:sz w:val="18"/>
                <w:szCs w:val="18"/>
              </w:rPr>
              <w:t xml:space="preserve">537 000,00  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6333E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6333E">
              <w:rPr>
                <w:rFonts w:ascii="Calibri" w:hAnsi="Calibri" w:cs="Arial"/>
                <w:sz w:val="18"/>
                <w:szCs w:val="18"/>
              </w:rPr>
              <w:t xml:space="preserve">Gymnázium A. Einsteina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6333E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6333E">
              <w:rPr>
                <w:rFonts w:ascii="Calibri" w:hAnsi="Calibri" w:cs="Arial"/>
                <w:sz w:val="18"/>
                <w:szCs w:val="18"/>
              </w:rPr>
              <w:t xml:space="preserve">Projektové práce a realizácia zateplenia a </w:t>
            </w:r>
            <w:proofErr w:type="spellStart"/>
            <w:r w:rsidRPr="00E6333E">
              <w:rPr>
                <w:rFonts w:ascii="Calibri" w:hAnsi="Calibri" w:cs="Arial"/>
                <w:sz w:val="18"/>
                <w:szCs w:val="18"/>
              </w:rPr>
              <w:t>hydroizolácie</w:t>
            </w:r>
            <w:proofErr w:type="spellEnd"/>
            <w:r w:rsidRPr="00E6333E">
              <w:rPr>
                <w:rFonts w:ascii="Calibri" w:hAnsi="Calibri" w:cs="Arial"/>
                <w:sz w:val="18"/>
                <w:szCs w:val="18"/>
              </w:rPr>
              <w:t xml:space="preserve"> - vypracovanie realizačného projektu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C36BD7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64 000,00</w:t>
            </w:r>
          </w:p>
        </w:tc>
      </w:tr>
      <w:tr w:rsidR="00990D96" w:rsidRPr="0096396E" w:rsidTr="00C11E8F">
        <w:trPr>
          <w:trHeight w:val="20"/>
        </w:trPr>
        <w:tc>
          <w:tcPr>
            <w:tcW w:w="2425" w:type="dxa"/>
            <w:vAlign w:val="center"/>
          </w:tcPr>
          <w:p w:rsidR="00990D96" w:rsidRPr="00E6333E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6333E">
              <w:rPr>
                <w:rFonts w:ascii="Calibri" w:hAnsi="Calibri" w:cs="Arial"/>
                <w:sz w:val="18"/>
                <w:szCs w:val="18"/>
              </w:rPr>
              <w:t xml:space="preserve">SZŠ </w:t>
            </w:r>
            <w:proofErr w:type="spellStart"/>
            <w:r w:rsidRPr="00E6333E">
              <w:rPr>
                <w:rFonts w:ascii="Calibri" w:hAnsi="Calibri" w:cs="Arial"/>
                <w:sz w:val="18"/>
                <w:szCs w:val="18"/>
              </w:rPr>
              <w:t>Strečnianska</w:t>
            </w:r>
            <w:proofErr w:type="spellEnd"/>
            <w:r w:rsidRPr="00E6333E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90D96" w:rsidRPr="00E6333E" w:rsidRDefault="00990D96" w:rsidP="00A75122">
            <w:pPr>
              <w:rPr>
                <w:rFonts w:ascii="Calibri" w:hAnsi="Calibri" w:cs="Arial"/>
                <w:sz w:val="18"/>
                <w:szCs w:val="18"/>
              </w:rPr>
            </w:pPr>
            <w:r w:rsidRPr="00E6333E">
              <w:rPr>
                <w:rFonts w:ascii="Calibri" w:hAnsi="Calibri" w:cs="Arial"/>
                <w:sz w:val="18"/>
                <w:szCs w:val="18"/>
              </w:rPr>
              <w:t>Projektové práce a realizácia zateplenia (vrátane SOŠ podnikania)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90D96" w:rsidRPr="00C36BD7" w:rsidRDefault="00990D96" w:rsidP="0002784E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914 000,00</w:t>
            </w:r>
          </w:p>
        </w:tc>
      </w:tr>
      <w:tr w:rsidR="0002784E" w:rsidRPr="0096396E" w:rsidTr="00C11E8F">
        <w:trPr>
          <w:trHeight w:val="20"/>
        </w:trPr>
        <w:tc>
          <w:tcPr>
            <w:tcW w:w="7386" w:type="dxa"/>
            <w:gridSpan w:val="2"/>
            <w:vAlign w:val="center"/>
          </w:tcPr>
          <w:p w:rsidR="0002784E" w:rsidRPr="0002784E" w:rsidRDefault="0002784E" w:rsidP="0002784E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2784E">
              <w:rPr>
                <w:rFonts w:ascii="Calibri" w:hAnsi="Calibri" w:cs="Arial"/>
                <w:b/>
                <w:sz w:val="18"/>
                <w:szCs w:val="18"/>
              </w:rPr>
              <w:t>SPOLU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02784E" w:rsidRDefault="0002784E" w:rsidP="0002784E">
            <w:pPr>
              <w:jc w:val="right"/>
              <w:rPr>
                <w:rFonts w:ascii="Calibri" w:hAnsi="Calibri" w:cs="Arial"/>
                <w:b/>
                <w:sz w:val="18"/>
                <w:szCs w:val="18"/>
              </w:rPr>
            </w:pPr>
            <w:r w:rsidRPr="0002784E">
              <w:rPr>
                <w:rFonts w:ascii="Calibri" w:hAnsi="Calibri" w:cs="Arial"/>
                <w:b/>
                <w:sz w:val="18"/>
                <w:szCs w:val="18"/>
              </w:rPr>
              <w:t>11 941 400,00</w:t>
            </w:r>
          </w:p>
        </w:tc>
      </w:tr>
    </w:tbl>
    <w:p w:rsidR="00990D96" w:rsidRDefault="00990D96" w:rsidP="00990D96">
      <w:pPr>
        <w:rPr>
          <w:rFonts w:asciiTheme="minorHAnsi" w:hAnsiTheme="minorHAnsi"/>
        </w:rPr>
      </w:pPr>
    </w:p>
    <w:p w:rsidR="00943258" w:rsidRDefault="00943258" w:rsidP="00990D96">
      <w:pPr>
        <w:rPr>
          <w:rFonts w:asciiTheme="minorHAnsi" w:hAnsiTheme="minorHAnsi"/>
        </w:rPr>
      </w:pP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4961"/>
        <w:gridCol w:w="2127"/>
      </w:tblGrid>
      <w:tr w:rsidR="0002784E" w:rsidRPr="0096396E" w:rsidTr="00C11E8F">
        <w:trPr>
          <w:trHeight w:val="20"/>
        </w:trPr>
        <w:tc>
          <w:tcPr>
            <w:tcW w:w="9513" w:type="dxa"/>
            <w:gridSpan w:val="3"/>
            <w:shd w:val="clear" w:color="auto" w:fill="D9D9D9" w:themeFill="background1" w:themeFillShade="D9"/>
            <w:vAlign w:val="center"/>
          </w:tcPr>
          <w:p w:rsidR="0002784E" w:rsidRPr="00DE3859" w:rsidRDefault="0002784E" w:rsidP="00C11E8F">
            <w:pPr>
              <w:rPr>
                <w:rFonts w:ascii="Calibri" w:hAnsi="Calibri" w:cs="Arial"/>
                <w:sz w:val="18"/>
                <w:szCs w:val="18"/>
              </w:rPr>
            </w:pPr>
            <w:r w:rsidRPr="00EA6525">
              <w:rPr>
                <w:rFonts w:ascii="Calibri" w:hAnsi="Calibri" w:cs="Arial"/>
                <w:b/>
                <w:sz w:val="20"/>
                <w:szCs w:val="20"/>
              </w:rPr>
              <w:t>Projekty, ktoré budú financované prostredníctvom úveru na základe Uznesenia BSK č.</w:t>
            </w:r>
            <w:r w:rsidR="0019216C">
              <w:rPr>
                <w:rFonts w:ascii="Calibri" w:hAnsi="Calibri" w:cs="Arial"/>
                <w:b/>
                <w:sz w:val="20"/>
                <w:szCs w:val="20"/>
              </w:rPr>
              <w:t> 26/2017</w:t>
            </w:r>
            <w:r w:rsidR="00C11E8F">
              <w:rPr>
                <w:rFonts w:ascii="Calibri" w:hAnsi="Calibri" w:cs="Arial"/>
                <w:b/>
                <w:sz w:val="20"/>
                <w:szCs w:val="20"/>
              </w:rPr>
              <w:t xml:space="preserve"> zo dňa 31.3.2017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</w:tcPr>
          <w:p w:rsidR="0002784E" w:rsidRPr="00C464C9" w:rsidRDefault="0002784E" w:rsidP="007052DF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Verejný obstarávateľ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C464C9" w:rsidRDefault="0002784E" w:rsidP="00943258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EA6525" w:rsidRDefault="0002784E" w:rsidP="00620BB2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A6525">
              <w:rPr>
                <w:rFonts w:ascii="Calibri" w:hAnsi="Calibri" w:cs="Arial"/>
                <w:b/>
                <w:sz w:val="20"/>
                <w:szCs w:val="20"/>
              </w:rPr>
              <w:t>Suma v</w:t>
            </w:r>
            <w:r w:rsidRPr="00EA6525">
              <w:rPr>
                <w:rFonts w:ascii="Calibri" w:hAnsi="Calibri" w:cs="Arial"/>
              </w:rPr>
              <w:t xml:space="preserve"> </w:t>
            </w:r>
            <w:r w:rsidRPr="00EA6525">
              <w:rPr>
                <w:rFonts w:ascii="Calibri" w:hAnsi="Calibri" w:cs="Arial"/>
                <w:b/>
                <w:sz w:val="20"/>
                <w:szCs w:val="20"/>
              </w:rPr>
              <w:t>€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DSS a ZBP MEREMA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Podpora </w:t>
            </w:r>
            <w:proofErr w:type="spellStart"/>
            <w:r w:rsidRPr="00DE3859">
              <w:rPr>
                <w:rFonts w:ascii="Calibri" w:hAnsi="Calibri" w:cs="Arial"/>
                <w:sz w:val="18"/>
                <w:szCs w:val="18"/>
              </w:rPr>
              <w:t>deinštitucionalizácie</w:t>
            </w:r>
            <w:proofErr w:type="spellEnd"/>
            <w:r w:rsidRPr="00DE3859">
              <w:rPr>
                <w:rFonts w:ascii="Calibri" w:hAnsi="Calibri" w:cs="Arial"/>
                <w:sz w:val="18"/>
                <w:szCs w:val="18"/>
              </w:rPr>
              <w:t xml:space="preserve"> sociálnych služieb v okrese Pezinok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500 000,00  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SZŠ Záhradnícka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Modernizácia športového areálu – realizačný projekt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24 000,00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SOŠ Komenského Pezinok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Výmena okien a dverí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239 970,00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SOŠ Polygrafická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Projektové práce a realizácia opravy telocvične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259 500,00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Malokarpatské múzeum Pezinok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Múzeum </w:t>
            </w:r>
            <w:proofErr w:type="spellStart"/>
            <w:r w:rsidRPr="00DE3859">
              <w:rPr>
                <w:rFonts w:ascii="Calibri" w:hAnsi="Calibri" w:cs="Arial"/>
                <w:sz w:val="18"/>
                <w:szCs w:val="18"/>
              </w:rPr>
              <w:t>Ferdiša</w:t>
            </w:r>
            <w:proofErr w:type="spellEnd"/>
            <w:r w:rsidRPr="00DE3859">
              <w:rPr>
                <w:rFonts w:ascii="Calibri" w:hAnsi="Calibri" w:cs="Arial"/>
                <w:sz w:val="18"/>
                <w:szCs w:val="18"/>
              </w:rPr>
              <w:t xml:space="preserve"> Kostku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156 570,00  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BSK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Výmena osvetlenia na školách a školských zariadeniach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960 000,00  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DE3859">
              <w:rPr>
                <w:rFonts w:ascii="Calibri" w:hAnsi="Calibri" w:cs="Arial"/>
                <w:sz w:val="18"/>
                <w:szCs w:val="18"/>
              </w:rPr>
              <w:t>SPŠSaG</w:t>
            </w:r>
            <w:proofErr w:type="spellEnd"/>
            <w:r w:rsidRPr="00DE3859">
              <w:rPr>
                <w:rFonts w:ascii="Calibri" w:hAnsi="Calibri" w:cs="Arial"/>
                <w:sz w:val="18"/>
                <w:szCs w:val="18"/>
              </w:rPr>
              <w:t xml:space="preserve"> Drieňová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Obnova a rekonštrukcia bazénu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1 089 000,00  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Školský internát Saratovská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Investičná podpora internátu na Saratovskej ulici v Dúbravke – projektová dokumentácia na elektroinštaláciu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24 000,00  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>SOŠ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Rozvoj odborného vzdelávania v Bratislavskom kraji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600 000,00  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DE3859">
              <w:rPr>
                <w:rFonts w:ascii="Calibri" w:hAnsi="Calibri" w:cs="Arial"/>
                <w:sz w:val="18"/>
                <w:szCs w:val="18"/>
              </w:rPr>
              <w:t>SPŠSaG</w:t>
            </w:r>
            <w:proofErr w:type="spellEnd"/>
            <w:r w:rsidRPr="00DE3859">
              <w:rPr>
                <w:rFonts w:ascii="Calibri" w:hAnsi="Calibri" w:cs="Arial"/>
                <w:sz w:val="18"/>
                <w:szCs w:val="18"/>
              </w:rPr>
              <w:t xml:space="preserve"> Drieňová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Rekonštrukcia telocvične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145 500,00  </w:t>
            </w:r>
          </w:p>
        </w:tc>
      </w:tr>
      <w:tr w:rsidR="0002784E" w:rsidRPr="0096396E" w:rsidTr="00C11E8F">
        <w:trPr>
          <w:trHeight w:val="20"/>
        </w:trPr>
        <w:tc>
          <w:tcPr>
            <w:tcW w:w="2425" w:type="dxa"/>
            <w:vAlign w:val="center"/>
          </w:tcPr>
          <w:p w:rsidR="0002784E" w:rsidRPr="00DE3859" w:rsidRDefault="0002784E" w:rsidP="007052DF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Gymnázium I. Horvátha 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Rekonštrukcia elektroinštalácie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DE3859" w:rsidRDefault="0002784E" w:rsidP="00620BB2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DE3859">
              <w:rPr>
                <w:rFonts w:ascii="Calibri" w:hAnsi="Calibri" w:cs="Arial"/>
                <w:sz w:val="18"/>
                <w:szCs w:val="18"/>
              </w:rPr>
              <w:t xml:space="preserve">510 200,00  </w:t>
            </w:r>
          </w:p>
        </w:tc>
      </w:tr>
      <w:tr w:rsidR="0002784E" w:rsidRPr="0096396E" w:rsidTr="00C11E8F">
        <w:trPr>
          <w:trHeight w:val="20"/>
        </w:trPr>
        <w:tc>
          <w:tcPr>
            <w:tcW w:w="7386" w:type="dxa"/>
            <w:gridSpan w:val="2"/>
            <w:vAlign w:val="center"/>
          </w:tcPr>
          <w:p w:rsidR="0002784E" w:rsidRPr="0002784E" w:rsidRDefault="0002784E" w:rsidP="0002784E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2784E">
              <w:rPr>
                <w:rFonts w:ascii="Calibri" w:hAnsi="Calibri" w:cs="Arial"/>
                <w:b/>
                <w:sz w:val="18"/>
                <w:szCs w:val="18"/>
              </w:rPr>
              <w:t>SPOLU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2784E" w:rsidRPr="009C0356" w:rsidRDefault="0002784E" w:rsidP="00620BB2">
            <w:pPr>
              <w:jc w:val="right"/>
              <w:rPr>
                <w:rFonts w:ascii="Calibri" w:hAnsi="Calibri" w:cs="Arial"/>
                <w:b/>
                <w:sz w:val="18"/>
                <w:szCs w:val="18"/>
              </w:rPr>
            </w:pPr>
            <w:r w:rsidRPr="009C0356">
              <w:rPr>
                <w:rFonts w:ascii="Calibri" w:hAnsi="Calibri" w:cs="Arial"/>
                <w:b/>
                <w:sz w:val="18"/>
                <w:szCs w:val="18"/>
              </w:rPr>
              <w:t xml:space="preserve">4 508 740,00 </w:t>
            </w:r>
          </w:p>
        </w:tc>
      </w:tr>
    </w:tbl>
    <w:p w:rsidR="0002784E" w:rsidRDefault="0002784E" w:rsidP="00990D96">
      <w:pPr>
        <w:rPr>
          <w:rFonts w:asciiTheme="minorHAnsi" w:hAnsiTheme="minorHAnsi"/>
        </w:rPr>
      </w:pPr>
    </w:p>
    <w:p w:rsidR="0002784E" w:rsidRDefault="0002784E" w:rsidP="00990D96">
      <w:pPr>
        <w:rPr>
          <w:rFonts w:asciiTheme="minorHAnsi" w:hAnsiTheme="minorHAnsi"/>
        </w:rPr>
      </w:pP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4961"/>
        <w:gridCol w:w="2127"/>
      </w:tblGrid>
      <w:tr w:rsidR="0002784E" w:rsidRPr="008F4209" w:rsidTr="00C11E8F">
        <w:trPr>
          <w:trHeight w:val="2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84E" w:rsidRPr="00EF23B2" w:rsidRDefault="0002784E" w:rsidP="0019216C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Projekty </w:t>
            </w:r>
            <w:r w:rsidRPr="00EA6525">
              <w:rPr>
                <w:rFonts w:ascii="Calibri" w:hAnsi="Calibri" w:cs="Arial"/>
                <w:b/>
                <w:sz w:val="20"/>
                <w:szCs w:val="20"/>
              </w:rPr>
              <w:t xml:space="preserve">financované prostredníctvom úveru na základe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predloženého materiálu </w:t>
            </w:r>
            <w:r w:rsidR="00943258">
              <w:rPr>
                <w:rFonts w:ascii="Calibri" w:hAnsi="Calibri" w:cs="Arial"/>
                <w:b/>
                <w:sz w:val="20"/>
                <w:szCs w:val="20"/>
              </w:rPr>
              <w:t xml:space="preserve">– „Návrh na zmenu rozpočtu BSK“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do Z</w:t>
            </w:r>
            <w:r w:rsidR="00943258">
              <w:rPr>
                <w:rFonts w:ascii="Calibri" w:hAnsi="Calibri" w:cs="Arial"/>
                <w:b/>
                <w:sz w:val="20"/>
                <w:szCs w:val="20"/>
              </w:rPr>
              <w:t>astupiteľstva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 BSK dňa 1</w:t>
            </w:r>
            <w:r w:rsidR="0019216C">
              <w:rPr>
                <w:rFonts w:ascii="Calibri" w:hAnsi="Calibri" w:cs="Arial"/>
                <w:b/>
                <w:sz w:val="20"/>
                <w:szCs w:val="20"/>
              </w:rPr>
              <w:t>2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.5.2017</w:t>
            </w:r>
          </w:p>
        </w:tc>
      </w:tr>
      <w:tr w:rsidR="0002784E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784E" w:rsidRPr="00C464C9" w:rsidRDefault="0002784E" w:rsidP="00943258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Verejný obstarávateľ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84E" w:rsidRPr="00C464C9" w:rsidRDefault="0002784E" w:rsidP="00943258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64C9">
              <w:rPr>
                <w:rFonts w:ascii="Calibri" w:hAnsi="Calibri" w:cs="Arial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84E" w:rsidRPr="00EA6525" w:rsidRDefault="0002784E" w:rsidP="00620BB2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A6525">
              <w:rPr>
                <w:rFonts w:ascii="Calibri" w:hAnsi="Calibri" w:cs="Arial"/>
                <w:b/>
                <w:sz w:val="20"/>
                <w:szCs w:val="20"/>
              </w:rPr>
              <w:t>Suma v</w:t>
            </w:r>
            <w:r w:rsidRPr="00EA6525">
              <w:rPr>
                <w:rFonts w:ascii="Calibri" w:hAnsi="Calibri" w:cs="Arial"/>
              </w:rPr>
              <w:t xml:space="preserve"> </w:t>
            </w:r>
            <w:r w:rsidRPr="00EA6525">
              <w:rPr>
                <w:rFonts w:ascii="Calibri" w:hAnsi="Calibri" w:cs="Arial"/>
                <w:b/>
                <w:sz w:val="20"/>
                <w:szCs w:val="20"/>
              </w:rPr>
              <w:t>€</w:t>
            </w:r>
          </w:p>
        </w:tc>
      </w:tr>
      <w:tr w:rsidR="009C0356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BSK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Cyklolávka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Lamač – Dúbravka – Devínska Nová Ves - premostenie ponad železnicu (realizácia stavebných prác)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300 000</w:t>
            </w:r>
            <w:r w:rsidRPr="008F4209">
              <w:rPr>
                <w:rFonts w:ascii="Arial" w:hAnsi="Arial" w:cs="Arial"/>
                <w:sz w:val="16"/>
                <w:szCs w:val="16"/>
              </w:rPr>
              <w:t xml:space="preserve">,00  </w:t>
            </w:r>
          </w:p>
        </w:tc>
      </w:tr>
      <w:tr w:rsidR="009C0356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Malokarpatské múzeum v Pezinku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Rekonštrukcia podkrovia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60 000,00</w:t>
            </w:r>
          </w:p>
        </w:tc>
      </w:tr>
      <w:tr w:rsidR="009C0356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Školský internát, Saratovská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8BF">
              <w:rPr>
                <w:rFonts w:ascii="Arial" w:hAnsi="Arial" w:cs="Arial"/>
                <w:color w:val="000000"/>
                <w:sz w:val="16"/>
                <w:szCs w:val="16"/>
              </w:rPr>
              <w:t>Investičná podpora internátu na Saratovskej ulici v Dúbravke – rekonštrukcia elektroinštalácie a stavebné práce (časť internátu a izieb študentov)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1 224 000,00</w:t>
            </w:r>
          </w:p>
        </w:tc>
      </w:tr>
      <w:tr w:rsidR="009C0356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4D54C4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SOŠ polygrafická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4F4C6A" w:rsidRDefault="009C0356" w:rsidP="00620BB2">
            <w:pPr>
              <w:rPr>
                <w:rFonts w:ascii="Arial Narrow" w:hAnsi="Arial Narrow"/>
                <w:sz w:val="16"/>
                <w:szCs w:val="16"/>
              </w:rPr>
            </w:pPr>
            <w:r w:rsidRPr="00B400FB">
              <w:rPr>
                <w:rFonts w:ascii="Arial" w:hAnsi="Arial" w:cs="Arial"/>
                <w:color w:val="000000"/>
                <w:sz w:val="16"/>
                <w:szCs w:val="16"/>
              </w:rPr>
              <w:t>Projektové práce a realizácia opravy telocvične</w:t>
            </w:r>
            <w:r w:rsidRPr="004F4C6A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78 000</w:t>
            </w:r>
            <w:r w:rsidRPr="00195228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</w:tr>
      <w:tr w:rsidR="009C0356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Malokarpatské osvetové stredisko, Modra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Kultúrno-kreatívne oživenie tradícií – rekonštrukcia </w:t>
            </w:r>
            <w:r w:rsidRPr="002026CC">
              <w:rPr>
                <w:rFonts w:ascii="Arial" w:hAnsi="Arial" w:cs="Arial"/>
                <w:sz w:val="16"/>
                <w:szCs w:val="16"/>
              </w:rPr>
              <w:t>oporného múru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2B1C73" w:rsidRDefault="009C0356" w:rsidP="00620BB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26CC">
              <w:rPr>
                <w:rFonts w:ascii="Arial" w:hAnsi="Arial" w:cs="Arial"/>
                <w:sz w:val="16"/>
                <w:szCs w:val="16"/>
              </w:rPr>
              <w:t>15</w:t>
            </w:r>
            <w:r>
              <w:rPr>
                <w:rFonts w:ascii="Arial" w:hAnsi="Arial" w:cs="Arial"/>
                <w:sz w:val="16"/>
                <w:szCs w:val="16"/>
              </w:rPr>
              <w:t> 699,77</w:t>
            </w:r>
          </w:p>
        </w:tc>
      </w:tr>
      <w:tr w:rsidR="009C0356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195228" w:rsidRDefault="009C0356" w:rsidP="00620BB2">
            <w:pPr>
              <w:rPr>
                <w:rFonts w:ascii="Arial" w:hAnsi="Arial" w:cs="Arial"/>
                <w:sz w:val="16"/>
                <w:szCs w:val="16"/>
              </w:rPr>
            </w:pPr>
            <w:r w:rsidRPr="00195228">
              <w:rPr>
                <w:rFonts w:ascii="Arial" w:hAnsi="Arial" w:cs="Arial"/>
                <w:sz w:val="16"/>
                <w:szCs w:val="16"/>
              </w:rPr>
              <w:t xml:space="preserve">Gymnázium Jána </w:t>
            </w:r>
            <w:proofErr w:type="spellStart"/>
            <w:r w:rsidRPr="00195228">
              <w:rPr>
                <w:rFonts w:ascii="Arial" w:hAnsi="Arial" w:cs="Arial"/>
                <w:sz w:val="16"/>
                <w:szCs w:val="16"/>
              </w:rPr>
              <w:t>Papánka</w:t>
            </w:r>
            <w:proofErr w:type="spellEnd"/>
            <w:r w:rsidRPr="0019522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195228">
              <w:rPr>
                <w:rFonts w:ascii="Arial" w:hAnsi="Arial" w:cs="Arial"/>
                <w:sz w:val="16"/>
                <w:szCs w:val="16"/>
              </w:rPr>
              <w:t>Vazovova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195228" w:rsidRDefault="009C0356" w:rsidP="00620BB2">
            <w:pPr>
              <w:rPr>
                <w:rFonts w:ascii="Arial" w:hAnsi="Arial" w:cs="Arial"/>
                <w:sz w:val="16"/>
                <w:szCs w:val="16"/>
              </w:rPr>
            </w:pPr>
            <w:r w:rsidRPr="00195228">
              <w:rPr>
                <w:rFonts w:ascii="Arial" w:hAnsi="Arial" w:cs="Arial"/>
                <w:sz w:val="16"/>
                <w:szCs w:val="16"/>
              </w:rPr>
              <w:t>Rekonštrukcia objektu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195228" w:rsidRDefault="009C0356" w:rsidP="00620B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228">
              <w:rPr>
                <w:rFonts w:ascii="Arial" w:hAnsi="Arial" w:cs="Arial"/>
                <w:sz w:val="16"/>
                <w:szCs w:val="16"/>
              </w:rPr>
              <w:t>23 857,54</w:t>
            </w:r>
          </w:p>
        </w:tc>
      </w:tr>
      <w:tr w:rsidR="009C0356" w:rsidRPr="002B1C73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DSS a 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ZpS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Rača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Podpora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deinštitucionalizácie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sociálnych služieb v Bratislave – vykonanie projekčných prác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84 636,00</w:t>
            </w:r>
          </w:p>
        </w:tc>
      </w:tr>
      <w:tr w:rsidR="009C0356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Poliklinika  Karlova Ves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Nákup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mamografu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8F4209" w:rsidRDefault="009C0356" w:rsidP="00620BB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150 000,00</w:t>
            </w:r>
          </w:p>
        </w:tc>
      </w:tr>
      <w:tr w:rsidR="006846E2" w:rsidRPr="008F4209" w:rsidTr="00C11E8F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6E2" w:rsidRDefault="006846E2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Synagóga Senec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6E2" w:rsidRDefault="006846E2" w:rsidP="00620B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Interiér synagógy – projektová dokumentácia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6E2" w:rsidRDefault="006846E2" w:rsidP="00620BB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14 400,00</w:t>
            </w:r>
          </w:p>
        </w:tc>
      </w:tr>
      <w:tr w:rsidR="009C0356" w:rsidRPr="008F4209" w:rsidTr="00C11E8F">
        <w:trPr>
          <w:trHeight w:val="2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56" w:rsidRPr="00EA6525" w:rsidRDefault="009C0356" w:rsidP="00620BB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EA6525">
              <w:rPr>
                <w:rFonts w:ascii="Calibri" w:hAnsi="Calibri" w:cs="Arial"/>
                <w:b/>
                <w:sz w:val="18"/>
                <w:szCs w:val="18"/>
              </w:rPr>
              <w:t>SPOLU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356" w:rsidRPr="00EA6525" w:rsidRDefault="00404B7F" w:rsidP="00620BB2">
            <w:pPr>
              <w:jc w:val="right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1 950 593,31</w:t>
            </w:r>
            <w:r w:rsidR="009C0356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02784E" w:rsidRDefault="0002784E" w:rsidP="00990D96">
      <w:pPr>
        <w:rPr>
          <w:rFonts w:asciiTheme="minorHAnsi" w:hAnsiTheme="minorHAnsi"/>
        </w:rPr>
      </w:pPr>
    </w:p>
    <w:p w:rsidR="006D4A87" w:rsidRDefault="006D4A87" w:rsidP="00990D96">
      <w:pPr>
        <w:rPr>
          <w:rFonts w:asciiTheme="minorHAnsi" w:hAnsiTheme="minorHAnsi"/>
        </w:rPr>
      </w:pPr>
    </w:p>
    <w:p w:rsidR="0002784E" w:rsidRDefault="0002784E" w:rsidP="00990D96">
      <w:pPr>
        <w:rPr>
          <w:rFonts w:asciiTheme="minorHAnsi" w:hAnsiTheme="minorHAnsi"/>
        </w:rPr>
      </w:pPr>
    </w:p>
    <w:p w:rsidR="00FB0A51" w:rsidRPr="00F12221" w:rsidRDefault="00FB0A51" w:rsidP="00F12221">
      <w:pPr>
        <w:pStyle w:val="Odsekzoznamu"/>
        <w:numPr>
          <w:ilvl w:val="0"/>
          <w:numId w:val="1"/>
        </w:numPr>
        <w:shd w:val="clear" w:color="auto" w:fill="FFFFFF"/>
        <w:spacing w:before="79" w:line="240" w:lineRule="auto"/>
        <w:jc w:val="center"/>
        <w:rPr>
          <w:rFonts w:cs="Arial"/>
          <w:b/>
          <w:bCs/>
          <w:spacing w:val="54"/>
          <w:sz w:val="24"/>
          <w:szCs w:val="24"/>
        </w:rPr>
      </w:pPr>
      <w:r w:rsidRPr="00F12221">
        <w:rPr>
          <w:rFonts w:cs="Arial"/>
          <w:b/>
          <w:bCs/>
          <w:spacing w:val="54"/>
          <w:sz w:val="24"/>
          <w:szCs w:val="24"/>
        </w:rPr>
        <w:t xml:space="preserve">ukladá   </w:t>
      </w:r>
    </w:p>
    <w:p w:rsidR="00A50F7D" w:rsidRDefault="00A50F7D" w:rsidP="00FB0A51">
      <w:pPr>
        <w:rPr>
          <w:rFonts w:asciiTheme="minorHAnsi" w:hAnsiTheme="minorHAnsi"/>
        </w:rPr>
      </w:pPr>
    </w:p>
    <w:p w:rsidR="00A50F7D" w:rsidRPr="00A50F7D" w:rsidRDefault="00A50F7D" w:rsidP="00FB0A51">
      <w:pPr>
        <w:rPr>
          <w:rFonts w:asciiTheme="minorHAnsi" w:hAnsiTheme="minorHAnsi"/>
          <w:u w:val="single"/>
        </w:rPr>
      </w:pPr>
      <w:r w:rsidRPr="00A50F7D">
        <w:rPr>
          <w:rFonts w:asciiTheme="minorHAnsi" w:hAnsiTheme="minorHAnsi"/>
          <w:u w:val="single"/>
        </w:rPr>
        <w:t>riaditeľovi úradu Bratislavského samosprávneho kraja:</w:t>
      </w:r>
    </w:p>
    <w:p w:rsidR="00A50F7D" w:rsidRDefault="00A50F7D" w:rsidP="00FB0A51">
      <w:pPr>
        <w:rPr>
          <w:rFonts w:asciiTheme="minorHAnsi" w:hAnsiTheme="minorHAnsi"/>
        </w:rPr>
      </w:pPr>
    </w:p>
    <w:p w:rsidR="00CD1BE4" w:rsidRDefault="00EA6525" w:rsidP="00CD1BE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B.1  </w:t>
      </w:r>
      <w:r w:rsidR="00CD1BE4" w:rsidRPr="00CD1BE4">
        <w:rPr>
          <w:rFonts w:asciiTheme="minorHAnsi" w:hAnsiTheme="minorHAnsi"/>
        </w:rPr>
        <w:t>organizačne a administratívne zabezpečiť proces prijatia návratných zdrojov financovania</w:t>
      </w:r>
    </w:p>
    <w:p w:rsidR="00EA6525" w:rsidRDefault="00EA6525" w:rsidP="00CD1BE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9C0356" w:rsidRDefault="00EA6525" w:rsidP="00CD1BE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B.2      predkladať odpočet čerpania úverov </w:t>
      </w:r>
      <w:r w:rsidR="009C0356">
        <w:rPr>
          <w:rFonts w:asciiTheme="minorHAnsi" w:hAnsiTheme="minorHAnsi"/>
        </w:rPr>
        <w:t>na každé zasadnutie Zastupiteľstva BSK</w:t>
      </w:r>
    </w:p>
    <w:p w:rsidR="009C0356" w:rsidRDefault="009C0356" w:rsidP="00CD1BE4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EA6525" w:rsidRPr="00CD1BE4" w:rsidRDefault="009C0356" w:rsidP="009C0356">
      <w:pPr>
        <w:shd w:val="clear" w:color="auto" w:fill="FFFFFF"/>
        <w:spacing w:before="79"/>
        <w:ind w:left="5014" w:firstLine="65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Termín:  do konca roku 2017</w:t>
      </w:r>
    </w:p>
    <w:p w:rsidR="00547332" w:rsidRDefault="00547332" w:rsidP="00C87BBB">
      <w:pPr>
        <w:jc w:val="center"/>
        <w:rPr>
          <w:rFonts w:ascii="Arial" w:hAnsi="Arial" w:cs="Arial"/>
          <w:b/>
        </w:rPr>
      </w:pPr>
    </w:p>
    <w:p w:rsidR="00547332" w:rsidRDefault="00547332" w:rsidP="00C87BBB">
      <w:pPr>
        <w:jc w:val="center"/>
        <w:rPr>
          <w:rFonts w:ascii="Arial" w:hAnsi="Arial" w:cs="Arial"/>
          <w:b/>
        </w:rPr>
      </w:pPr>
    </w:p>
    <w:p w:rsidR="00547332" w:rsidRDefault="00547332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EA6525" w:rsidRDefault="00EA6525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  <w:r w:rsidRPr="00C52131">
        <w:rPr>
          <w:rFonts w:ascii="Arial" w:hAnsi="Arial" w:cs="Arial"/>
          <w:b/>
        </w:rPr>
        <w:t>D ô v o d o v á   s p r á v</w:t>
      </w:r>
      <w:r>
        <w:rPr>
          <w:rFonts w:ascii="Arial" w:hAnsi="Arial" w:cs="Arial"/>
          <w:b/>
        </w:rPr>
        <w:t> </w:t>
      </w:r>
      <w:r w:rsidRPr="00C52131">
        <w:rPr>
          <w:rFonts w:ascii="Arial" w:hAnsi="Arial" w:cs="Arial"/>
          <w:b/>
        </w:rPr>
        <w:t>a</w:t>
      </w: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Pr="00C45014" w:rsidRDefault="00C87BBB" w:rsidP="00C87BBB">
      <w:pPr>
        <w:jc w:val="center"/>
        <w:rPr>
          <w:rFonts w:ascii="Arial" w:hAnsi="Arial" w:cs="Arial"/>
          <w:b/>
        </w:rPr>
      </w:pPr>
    </w:p>
    <w:p w:rsidR="00870324" w:rsidRDefault="005F6AFF" w:rsidP="00DD1C6C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  <w:r w:rsidRPr="00C45014">
        <w:rPr>
          <w:rFonts w:asciiTheme="minorHAnsi" w:eastAsiaTheme="minorHAnsi" w:hAnsiTheme="minorHAnsi" w:cstheme="minorBidi"/>
          <w:lang w:eastAsia="en-US"/>
        </w:rPr>
        <w:t xml:space="preserve">Tento materiál nadväzuje na predchádzajúce schválené materiály Zastupiteľstva Bratislavského samosprávneho kraja </w:t>
      </w:r>
      <w:r w:rsidR="00AC1F41">
        <w:rPr>
          <w:rFonts w:asciiTheme="minorHAnsi" w:eastAsiaTheme="minorHAnsi" w:hAnsiTheme="minorHAnsi" w:cstheme="minorBidi"/>
          <w:lang w:eastAsia="en-US"/>
        </w:rPr>
        <w:t xml:space="preserve">(ďalej len „Z BSK“) </w:t>
      </w:r>
      <w:r w:rsidRPr="00C45014">
        <w:rPr>
          <w:rFonts w:asciiTheme="minorHAnsi" w:eastAsiaTheme="minorHAnsi" w:hAnsiTheme="minorHAnsi" w:cstheme="minorBidi"/>
          <w:lang w:eastAsia="en-US"/>
        </w:rPr>
        <w:t xml:space="preserve">a predstavuje ďalší krok k zabezpečeniu financovania </w:t>
      </w:r>
      <w:r w:rsidR="00AC1F41">
        <w:rPr>
          <w:rFonts w:asciiTheme="minorHAnsi" w:eastAsiaTheme="minorHAnsi" w:hAnsiTheme="minorHAnsi" w:cstheme="minorBidi"/>
          <w:lang w:eastAsia="en-US"/>
        </w:rPr>
        <w:t>rozvojových investičných projektov.</w:t>
      </w:r>
    </w:p>
    <w:p w:rsidR="00AC1F41" w:rsidRDefault="00AC1F41" w:rsidP="00DD1C6C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Dňa 16.12.2016 schválilo Z BSK Uznesenie č. 123/2016, na základe ktorého poveril</w:t>
      </w:r>
      <w:r w:rsidR="00C11E8F">
        <w:rPr>
          <w:rFonts w:asciiTheme="minorHAnsi" w:eastAsiaTheme="minorHAnsi" w:hAnsiTheme="minorHAnsi" w:cstheme="minorBidi"/>
          <w:lang w:eastAsia="en-US"/>
        </w:rPr>
        <w:t>o</w:t>
      </w:r>
      <w:r>
        <w:rPr>
          <w:rFonts w:asciiTheme="minorHAnsi" w:eastAsiaTheme="minorHAnsi" w:hAnsiTheme="minorHAnsi" w:cstheme="minorBidi"/>
          <w:lang w:eastAsia="en-US"/>
        </w:rPr>
        <w:t xml:space="preserve"> Úrad BSK a finančnú komisiu Z BSK, vykonať kroky, ktoré povedú k otvoreniu úverových rámcov v Európskej investičnej banke</w:t>
      </w:r>
      <w:r w:rsidR="00990D96">
        <w:rPr>
          <w:rFonts w:asciiTheme="minorHAnsi" w:eastAsiaTheme="minorHAnsi" w:hAnsiTheme="minorHAnsi" w:cstheme="minorBidi"/>
          <w:lang w:eastAsia="en-US"/>
        </w:rPr>
        <w:t xml:space="preserve"> (ďalej len „EIB“)</w:t>
      </w:r>
      <w:r>
        <w:rPr>
          <w:rFonts w:asciiTheme="minorHAnsi" w:eastAsiaTheme="minorHAnsi" w:hAnsiTheme="minorHAnsi" w:cstheme="minorBidi"/>
          <w:lang w:eastAsia="en-US"/>
        </w:rPr>
        <w:t xml:space="preserve"> a tuzemskej </w:t>
      </w:r>
      <w:r w:rsidR="00072685">
        <w:rPr>
          <w:rFonts w:asciiTheme="minorHAnsi" w:eastAsiaTheme="minorHAnsi" w:hAnsiTheme="minorHAnsi" w:cstheme="minorBidi"/>
          <w:lang w:eastAsia="en-US"/>
        </w:rPr>
        <w:t>bankovej inštitúcii.</w:t>
      </w:r>
    </w:p>
    <w:p w:rsidR="00D96021" w:rsidRDefault="00072685" w:rsidP="00DD1C6C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  <w:r w:rsidRPr="00990D96">
        <w:rPr>
          <w:rFonts w:asciiTheme="minorHAnsi" w:eastAsiaTheme="minorHAnsi" w:hAnsiTheme="minorHAnsi" w:cstheme="minorBidi"/>
          <w:b/>
          <w:lang w:eastAsia="en-US"/>
        </w:rPr>
        <w:t>EIB</w:t>
      </w:r>
      <w:r>
        <w:rPr>
          <w:rFonts w:asciiTheme="minorHAnsi" w:eastAsiaTheme="minorHAnsi" w:hAnsiTheme="minorHAnsi" w:cstheme="minorBidi"/>
          <w:lang w:eastAsia="en-US"/>
        </w:rPr>
        <w:t xml:space="preserve"> – BSK už v minulosti realizoval čerpanie úverových zdrojov z tejto banky v rokoch 2009 až 2013. Na začiatku roku 2016 iniciovala EIB osobné stretnutie na pôde BSK, kde bola župe predostretá </w:t>
      </w:r>
      <w:r w:rsidRPr="00424353">
        <w:rPr>
          <w:rFonts w:asciiTheme="minorHAnsi" w:eastAsiaTheme="minorHAnsi" w:hAnsiTheme="minorHAnsi" w:cstheme="minorBidi"/>
          <w:b/>
          <w:lang w:eastAsia="en-US"/>
        </w:rPr>
        <w:t>ponuka na nový úverový rámec v sume 25 mil. EUR</w:t>
      </w:r>
      <w:r>
        <w:rPr>
          <w:rFonts w:asciiTheme="minorHAnsi" w:eastAsiaTheme="minorHAnsi" w:hAnsiTheme="minorHAnsi" w:cstheme="minorBidi"/>
          <w:lang w:eastAsia="en-US"/>
        </w:rPr>
        <w:t xml:space="preserve">. Táto ponuka ako aj predchádzajúce výborné skúsenosti s touto bankou (jednoznačne najvýhodnejšie podmienky úverov na trhu) boli základným impulzom </w:t>
      </w:r>
      <w:r w:rsidR="00710281">
        <w:rPr>
          <w:rFonts w:asciiTheme="minorHAnsi" w:eastAsiaTheme="minorHAnsi" w:hAnsiTheme="minorHAnsi" w:cstheme="minorBidi"/>
          <w:lang w:eastAsia="en-US"/>
        </w:rPr>
        <w:t>na otvorenie úverových rámcov</w:t>
      </w:r>
      <w:r w:rsidR="00990D96">
        <w:rPr>
          <w:rFonts w:asciiTheme="minorHAnsi" w:eastAsiaTheme="minorHAnsi" w:hAnsiTheme="minorHAnsi" w:cstheme="minorBidi"/>
          <w:lang w:eastAsia="en-US"/>
        </w:rPr>
        <w:t xml:space="preserve"> za účelom prípadného dofinancovania rozvojových projektov BSK.</w:t>
      </w:r>
      <w:r w:rsidR="00710281">
        <w:rPr>
          <w:rFonts w:asciiTheme="minorHAnsi" w:eastAsiaTheme="minorHAnsi" w:hAnsiTheme="minorHAnsi" w:cstheme="minorBidi"/>
          <w:lang w:eastAsia="en-US"/>
        </w:rPr>
        <w:t xml:space="preserve"> Po úvodných konzultáciách, ktoré prebiehali celú druhú polovicu rok</w:t>
      </w:r>
      <w:r w:rsidR="00990D96">
        <w:rPr>
          <w:rFonts w:asciiTheme="minorHAnsi" w:eastAsiaTheme="minorHAnsi" w:hAnsiTheme="minorHAnsi" w:cstheme="minorBidi"/>
          <w:lang w:eastAsia="en-US"/>
        </w:rPr>
        <w:t>a</w:t>
      </w:r>
      <w:r w:rsidR="00710281">
        <w:rPr>
          <w:rFonts w:asciiTheme="minorHAnsi" w:eastAsiaTheme="minorHAnsi" w:hAnsiTheme="minorHAnsi" w:cstheme="minorBidi"/>
          <w:lang w:eastAsia="en-US"/>
        </w:rPr>
        <w:t xml:space="preserve"> 2016 prišlo k </w:t>
      </w:r>
      <w:r w:rsidR="00710281" w:rsidRPr="00424353">
        <w:rPr>
          <w:rFonts w:asciiTheme="minorHAnsi" w:eastAsiaTheme="minorHAnsi" w:hAnsiTheme="minorHAnsi" w:cstheme="minorBidi"/>
          <w:b/>
          <w:lang w:eastAsia="en-US"/>
        </w:rPr>
        <w:t>osobnému stretnutiu predstaviteľov EIB a vedenia BSK</w:t>
      </w:r>
      <w:r w:rsidR="00710281">
        <w:rPr>
          <w:rFonts w:asciiTheme="minorHAnsi" w:eastAsiaTheme="minorHAnsi" w:hAnsiTheme="minorHAnsi" w:cstheme="minorBidi"/>
          <w:lang w:eastAsia="en-US"/>
        </w:rPr>
        <w:t xml:space="preserve">, na ktorom bol deklarovaný spoločný záujem o podpísanie zmluvy o otvorení úverového rámca. Na tomto stretnutí sa doladili ďalšie pracovné postupy tak, aby bolo možné </w:t>
      </w:r>
      <w:r w:rsidR="00710281" w:rsidRPr="00424353">
        <w:rPr>
          <w:rFonts w:asciiTheme="minorHAnsi" w:eastAsiaTheme="minorHAnsi" w:hAnsiTheme="minorHAnsi" w:cstheme="minorBidi"/>
          <w:b/>
          <w:lang w:eastAsia="en-US"/>
        </w:rPr>
        <w:t>podpísať zmluvu medzi BSK a EIB</w:t>
      </w:r>
      <w:r w:rsidR="00710281">
        <w:rPr>
          <w:rFonts w:asciiTheme="minorHAnsi" w:eastAsiaTheme="minorHAnsi" w:hAnsiTheme="minorHAnsi" w:cstheme="minorBidi"/>
          <w:lang w:eastAsia="en-US"/>
        </w:rPr>
        <w:t xml:space="preserve">. Schválenie tohto materiálu dá BSK možnosť prakticky hneď po podpísaní tejto zmluvy čerpať </w:t>
      </w:r>
      <w:r w:rsidR="00EF23B2">
        <w:rPr>
          <w:rFonts w:asciiTheme="minorHAnsi" w:eastAsiaTheme="minorHAnsi" w:hAnsiTheme="minorHAnsi" w:cstheme="minorBidi"/>
          <w:lang w:eastAsia="en-US"/>
        </w:rPr>
        <w:t>úver</w:t>
      </w:r>
      <w:r w:rsidR="00710281">
        <w:rPr>
          <w:rFonts w:asciiTheme="minorHAnsi" w:eastAsiaTheme="minorHAnsi" w:hAnsiTheme="minorHAnsi" w:cstheme="minorBidi"/>
          <w:lang w:eastAsia="en-US"/>
        </w:rPr>
        <w:t xml:space="preserve"> z</w:t>
      </w:r>
      <w:r w:rsidR="00EF23B2">
        <w:rPr>
          <w:rFonts w:asciiTheme="minorHAnsi" w:eastAsiaTheme="minorHAnsi" w:hAnsiTheme="minorHAnsi" w:cstheme="minorBidi"/>
          <w:lang w:eastAsia="en-US"/>
        </w:rPr>
        <w:t xml:space="preserve"> úverového rámca </w:t>
      </w:r>
      <w:r w:rsidR="00710281">
        <w:rPr>
          <w:rFonts w:asciiTheme="minorHAnsi" w:eastAsiaTheme="minorHAnsi" w:hAnsiTheme="minorHAnsi" w:cstheme="minorBidi"/>
          <w:lang w:eastAsia="en-US"/>
        </w:rPr>
        <w:t xml:space="preserve">EIB </w:t>
      </w:r>
      <w:r w:rsidR="00144150">
        <w:rPr>
          <w:rFonts w:asciiTheme="minorHAnsi" w:eastAsiaTheme="minorHAnsi" w:hAnsiTheme="minorHAnsi" w:cstheme="minorBidi"/>
          <w:lang w:eastAsia="en-US"/>
        </w:rPr>
        <w:t xml:space="preserve">do výšky 10 mil. EUR. </w:t>
      </w:r>
      <w:r w:rsidR="00990D96">
        <w:rPr>
          <w:rFonts w:asciiTheme="minorHAnsi" w:eastAsiaTheme="minorHAnsi" w:hAnsiTheme="minorHAnsi" w:cstheme="minorBidi"/>
          <w:lang w:eastAsia="en-US"/>
        </w:rPr>
        <w:t>Ď</w:t>
      </w:r>
      <w:r w:rsidR="00144150">
        <w:rPr>
          <w:rFonts w:asciiTheme="minorHAnsi" w:eastAsiaTheme="minorHAnsi" w:hAnsiTheme="minorHAnsi" w:cstheme="minorBidi"/>
          <w:lang w:eastAsia="en-US"/>
        </w:rPr>
        <w:t xml:space="preserve">alšie </w:t>
      </w:r>
      <w:r w:rsidR="00144150" w:rsidRPr="00424353">
        <w:rPr>
          <w:rFonts w:asciiTheme="minorHAnsi" w:eastAsiaTheme="minorHAnsi" w:hAnsiTheme="minorHAnsi" w:cstheme="minorBidi"/>
          <w:b/>
          <w:lang w:eastAsia="en-US"/>
        </w:rPr>
        <w:t xml:space="preserve">podmienky </w:t>
      </w:r>
      <w:r w:rsidR="00EF23B2" w:rsidRPr="00424353">
        <w:rPr>
          <w:rFonts w:asciiTheme="minorHAnsi" w:eastAsiaTheme="minorHAnsi" w:hAnsiTheme="minorHAnsi" w:cstheme="minorBidi"/>
          <w:b/>
          <w:lang w:eastAsia="en-US"/>
        </w:rPr>
        <w:t>úveru</w:t>
      </w:r>
      <w:r w:rsidR="00144150" w:rsidRPr="00424353">
        <w:rPr>
          <w:rFonts w:asciiTheme="minorHAnsi" w:eastAsiaTheme="minorHAnsi" w:hAnsiTheme="minorHAnsi" w:cstheme="minorBidi"/>
          <w:b/>
          <w:lang w:eastAsia="en-US"/>
        </w:rPr>
        <w:t xml:space="preserve"> budú prakticky totožné ako pri predchádzaj</w:t>
      </w:r>
      <w:r w:rsidR="0019216C" w:rsidRPr="00424353">
        <w:rPr>
          <w:rFonts w:asciiTheme="minorHAnsi" w:eastAsiaTheme="minorHAnsi" w:hAnsiTheme="minorHAnsi" w:cstheme="minorBidi"/>
          <w:b/>
          <w:lang w:eastAsia="en-US"/>
        </w:rPr>
        <w:t>úcej spolupráci medzi BSK a EIB</w:t>
      </w:r>
      <w:r w:rsidR="00144150">
        <w:rPr>
          <w:rFonts w:asciiTheme="minorHAnsi" w:eastAsiaTheme="minorHAnsi" w:hAnsiTheme="minorHAnsi" w:cstheme="minorBidi"/>
          <w:lang w:eastAsia="en-US"/>
        </w:rPr>
        <w:t xml:space="preserve">, </w:t>
      </w:r>
      <w:r w:rsidR="00547332">
        <w:rPr>
          <w:rFonts w:asciiTheme="minorHAnsi" w:eastAsiaTheme="minorHAnsi" w:hAnsiTheme="minorHAnsi" w:cstheme="minorBidi"/>
          <w:lang w:eastAsia="en-US"/>
        </w:rPr>
        <w:t>polročné splácanie istiny aj úrokov a úroková sadzba vo formáte 6-mesačný EURIBOR + marža banky</w:t>
      </w:r>
      <w:r w:rsidR="0019216C">
        <w:rPr>
          <w:rFonts w:asciiTheme="minorHAnsi" w:eastAsiaTheme="minorHAnsi" w:hAnsiTheme="minorHAnsi" w:cstheme="minorBidi"/>
          <w:lang w:eastAsia="en-US"/>
        </w:rPr>
        <w:t>, akurát splatnosť úveru bude 25 rokov (zmena úverových podmienok na strane EIB oproti predchádzajúcej spolupráci s BSK, kedy bola maximálna splatnosť 30 rokov)</w:t>
      </w:r>
      <w:r w:rsidR="00547332">
        <w:rPr>
          <w:rFonts w:asciiTheme="minorHAnsi" w:eastAsiaTheme="minorHAnsi" w:hAnsiTheme="minorHAnsi" w:cstheme="minorBidi"/>
          <w:lang w:eastAsia="en-US"/>
        </w:rPr>
        <w:t xml:space="preserve">. Úrokovú sadzbu nie je možné v tejto chvíli presne zadefinovať, nakoľko EIB ju stanovuje na dennej báze a až v deň čerpania dostane žiadateľ záväznú ponuku úrokovej sadzby. Je však možné požiadať o indikatívnu ponuku v ktorýkoľvek deň pred čerpaním a na jej základe je možné vidieť vývoj úrokových sadzieb v rámci EIB. </w:t>
      </w:r>
    </w:p>
    <w:p w:rsidR="00AC7E71" w:rsidRDefault="00AC7E71" w:rsidP="00DD1C6C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  <w:r w:rsidRPr="00990D96">
        <w:rPr>
          <w:rFonts w:asciiTheme="minorHAnsi" w:eastAsiaTheme="minorHAnsi" w:hAnsiTheme="minorHAnsi" w:cstheme="minorBidi"/>
          <w:b/>
          <w:lang w:eastAsia="en-US"/>
        </w:rPr>
        <w:t>Tuzemská banková inštitúcia</w:t>
      </w:r>
      <w:r>
        <w:rPr>
          <w:rFonts w:asciiTheme="minorHAnsi" w:eastAsiaTheme="minorHAnsi" w:hAnsiTheme="minorHAnsi" w:cstheme="minorBidi"/>
          <w:lang w:eastAsia="en-US"/>
        </w:rPr>
        <w:t xml:space="preserve"> – zámer na otvorenie úverového rámca v tuzemskej bankovej inštitúcii vychádzal v prvom rade z podmienky EIB týkajúcej sa toho, že financovanie rozvojových projektov </w:t>
      </w:r>
      <w:r w:rsidRPr="00424353">
        <w:rPr>
          <w:rFonts w:asciiTheme="minorHAnsi" w:eastAsiaTheme="minorHAnsi" w:hAnsiTheme="minorHAnsi" w:cstheme="minorBidi"/>
          <w:b/>
          <w:lang w:eastAsia="en-US"/>
        </w:rPr>
        <w:t>zo strany EIB je možné len do výšky 50</w:t>
      </w:r>
      <w:r w:rsidR="00EA6525" w:rsidRPr="00424353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Pr="00424353">
        <w:rPr>
          <w:rFonts w:asciiTheme="minorHAnsi" w:eastAsiaTheme="minorHAnsi" w:hAnsiTheme="minorHAnsi" w:cstheme="minorBidi"/>
          <w:b/>
          <w:lang w:eastAsia="en-US"/>
        </w:rPr>
        <w:t>% projektových výdavkov</w:t>
      </w:r>
      <w:r>
        <w:rPr>
          <w:rFonts w:asciiTheme="minorHAnsi" w:eastAsiaTheme="minorHAnsi" w:hAnsiTheme="minorHAnsi" w:cstheme="minorBidi"/>
          <w:lang w:eastAsia="en-US"/>
        </w:rPr>
        <w:t xml:space="preserve"> a tak na prípadné dofinancovanie týchto projektov bude možné použiť aj úverové zdroje z inej banky.</w:t>
      </w:r>
      <w:r w:rsidR="00413BE5">
        <w:rPr>
          <w:rFonts w:asciiTheme="minorHAnsi" w:eastAsiaTheme="minorHAnsi" w:hAnsiTheme="minorHAnsi" w:cstheme="minorBidi"/>
          <w:lang w:eastAsia="en-US"/>
        </w:rPr>
        <w:t xml:space="preserve"> V prvom kroku </w:t>
      </w:r>
      <w:r w:rsidR="00990D96">
        <w:rPr>
          <w:rFonts w:asciiTheme="minorHAnsi" w:eastAsiaTheme="minorHAnsi" w:hAnsiTheme="minorHAnsi" w:cstheme="minorBidi"/>
          <w:lang w:eastAsia="en-US"/>
        </w:rPr>
        <w:t xml:space="preserve">po schválení materiálu týkajúceho sa otvorenia úverových rámcov </w:t>
      </w:r>
      <w:r w:rsidR="00413BE5">
        <w:rPr>
          <w:rFonts w:asciiTheme="minorHAnsi" w:eastAsiaTheme="minorHAnsi" w:hAnsiTheme="minorHAnsi" w:cstheme="minorBidi"/>
          <w:lang w:eastAsia="en-US"/>
        </w:rPr>
        <w:t xml:space="preserve">za účelom predloženia indikatívnej ponuky bola na začiatku januára 2017 </w:t>
      </w:r>
      <w:r w:rsidR="00413BE5" w:rsidRPr="00424353">
        <w:rPr>
          <w:rFonts w:asciiTheme="minorHAnsi" w:eastAsiaTheme="minorHAnsi" w:hAnsiTheme="minorHAnsi" w:cstheme="minorBidi"/>
          <w:b/>
          <w:lang w:eastAsia="en-US"/>
        </w:rPr>
        <w:t>oslovená väčšina bankových inštitúcií na Slovensku</w:t>
      </w:r>
      <w:r w:rsidR="00413BE5">
        <w:rPr>
          <w:rFonts w:asciiTheme="minorHAnsi" w:eastAsiaTheme="minorHAnsi" w:hAnsiTheme="minorHAnsi" w:cstheme="minorBidi"/>
          <w:lang w:eastAsia="en-US"/>
        </w:rPr>
        <w:t xml:space="preserve"> (okrem stavebných sporiteľní a špecificky zameraných bánk), celkom 18 subjektov. Ponuku do stanoveného termínu (13.2.2017) predložilo celkom </w:t>
      </w:r>
      <w:r w:rsidR="00413BE5" w:rsidRPr="00424353">
        <w:rPr>
          <w:rFonts w:asciiTheme="minorHAnsi" w:eastAsiaTheme="minorHAnsi" w:hAnsiTheme="minorHAnsi" w:cstheme="minorBidi"/>
          <w:b/>
          <w:lang w:eastAsia="en-US"/>
        </w:rPr>
        <w:t>6 bánk</w:t>
      </w:r>
      <w:r w:rsidR="00413BE5">
        <w:rPr>
          <w:rFonts w:asciiTheme="minorHAnsi" w:eastAsiaTheme="minorHAnsi" w:hAnsiTheme="minorHAnsi" w:cstheme="minorBidi"/>
          <w:lang w:eastAsia="en-US"/>
        </w:rPr>
        <w:t xml:space="preserve"> – </w:t>
      </w:r>
      <w:proofErr w:type="spellStart"/>
      <w:r w:rsidR="00413BE5">
        <w:rPr>
          <w:rFonts w:asciiTheme="minorHAnsi" w:eastAsiaTheme="minorHAnsi" w:hAnsiTheme="minorHAnsi" w:cstheme="minorBidi"/>
          <w:lang w:eastAsia="en-US"/>
        </w:rPr>
        <w:t>Tatrabanka</w:t>
      </w:r>
      <w:proofErr w:type="spellEnd"/>
      <w:r w:rsidR="00413BE5">
        <w:rPr>
          <w:rFonts w:asciiTheme="minorHAnsi" w:eastAsiaTheme="minorHAnsi" w:hAnsiTheme="minorHAnsi" w:cstheme="minorBidi"/>
          <w:lang w:eastAsia="en-US"/>
        </w:rPr>
        <w:t xml:space="preserve">, SLSP, VÚB, </w:t>
      </w:r>
      <w:proofErr w:type="spellStart"/>
      <w:r w:rsidR="00413BE5">
        <w:rPr>
          <w:rFonts w:asciiTheme="minorHAnsi" w:eastAsiaTheme="minorHAnsi" w:hAnsiTheme="minorHAnsi" w:cstheme="minorBidi"/>
          <w:lang w:eastAsia="en-US"/>
        </w:rPr>
        <w:t>UniCredit</w:t>
      </w:r>
      <w:proofErr w:type="spellEnd"/>
      <w:r w:rsidR="00413BE5">
        <w:rPr>
          <w:rFonts w:asciiTheme="minorHAnsi" w:eastAsiaTheme="minorHAnsi" w:hAnsiTheme="minorHAnsi" w:cstheme="minorBidi"/>
          <w:lang w:eastAsia="en-US"/>
        </w:rPr>
        <w:t xml:space="preserve"> bank, </w:t>
      </w:r>
      <w:proofErr w:type="spellStart"/>
      <w:r w:rsidR="00413BE5">
        <w:rPr>
          <w:rFonts w:asciiTheme="minorHAnsi" w:eastAsiaTheme="minorHAnsi" w:hAnsiTheme="minorHAnsi" w:cstheme="minorBidi"/>
          <w:lang w:eastAsia="en-US"/>
        </w:rPr>
        <w:t>Oberbank</w:t>
      </w:r>
      <w:proofErr w:type="spellEnd"/>
      <w:r w:rsidR="00413BE5">
        <w:rPr>
          <w:rFonts w:asciiTheme="minorHAnsi" w:eastAsiaTheme="minorHAnsi" w:hAnsiTheme="minorHAnsi" w:cstheme="minorBidi"/>
          <w:lang w:eastAsia="en-US"/>
        </w:rPr>
        <w:t xml:space="preserve"> a ČSOB. Finančná komisia na svojom zasadnutí dňa 15.2.2017 ponuky vyhodnotila a zúžila výber na troch najlepších uchádzačov na základe úrokovej sadzby. Títo traja uchádzači boli oslovení o doplnenie ponuky tak, aby obsahovala tri alternatívy úrokovej sadzby: 3-mesačný EURIBOR + marža, 6-mesačný EURIBOR + marža a 12-mesačný EURIBOR + marža. Všetky tri vybrané banky doplnili svoje ponuky podľa požiadav</w:t>
      </w:r>
      <w:r w:rsidR="00144150">
        <w:rPr>
          <w:rFonts w:asciiTheme="minorHAnsi" w:eastAsiaTheme="minorHAnsi" w:hAnsiTheme="minorHAnsi" w:cstheme="minorBidi"/>
          <w:lang w:eastAsia="en-US"/>
        </w:rPr>
        <w:t>k</w:t>
      </w:r>
      <w:r w:rsidR="00413BE5">
        <w:rPr>
          <w:rFonts w:asciiTheme="minorHAnsi" w:eastAsiaTheme="minorHAnsi" w:hAnsiTheme="minorHAnsi" w:cstheme="minorBidi"/>
          <w:lang w:eastAsia="en-US"/>
        </w:rPr>
        <w:t>y</w:t>
      </w:r>
      <w:r w:rsidR="00144150">
        <w:rPr>
          <w:rFonts w:asciiTheme="minorHAnsi" w:eastAsiaTheme="minorHAnsi" w:hAnsiTheme="minorHAnsi" w:cstheme="minorBidi"/>
          <w:lang w:eastAsia="en-US"/>
        </w:rPr>
        <w:t xml:space="preserve"> a opätovne predložili ponuky finančnej komisii na posúdenie. Tá na svojom zasadnutí </w:t>
      </w:r>
      <w:r w:rsidR="00990D96" w:rsidRPr="00424353">
        <w:rPr>
          <w:rFonts w:asciiTheme="minorHAnsi" w:eastAsiaTheme="minorHAnsi" w:hAnsiTheme="minorHAnsi" w:cstheme="minorBidi"/>
          <w:b/>
          <w:lang w:eastAsia="en-US"/>
        </w:rPr>
        <w:t xml:space="preserve">dňa 9.3.2017 </w:t>
      </w:r>
      <w:r w:rsidR="00144150" w:rsidRPr="00424353">
        <w:rPr>
          <w:rFonts w:asciiTheme="minorHAnsi" w:eastAsiaTheme="minorHAnsi" w:hAnsiTheme="minorHAnsi" w:cstheme="minorBidi"/>
          <w:b/>
          <w:lang w:eastAsia="en-US"/>
        </w:rPr>
        <w:t>vybrala ponuku Slovenskej sporiteľne</w:t>
      </w:r>
      <w:r w:rsidR="00144150">
        <w:rPr>
          <w:rFonts w:asciiTheme="minorHAnsi" w:eastAsiaTheme="minorHAnsi" w:hAnsiTheme="minorHAnsi" w:cstheme="minorBidi"/>
          <w:lang w:eastAsia="en-US"/>
        </w:rPr>
        <w:t xml:space="preserve">, v rámci ktorej základný parameter úrokovej sadzby bol nastavený vo výške 12-mesačný EURIBOR + 0,27%. </w:t>
      </w:r>
      <w:r w:rsidR="001B63D5">
        <w:rPr>
          <w:rFonts w:asciiTheme="minorHAnsi" w:eastAsiaTheme="minorHAnsi" w:hAnsiTheme="minorHAnsi" w:cstheme="minorBidi"/>
          <w:lang w:eastAsia="en-US"/>
        </w:rPr>
        <w:t xml:space="preserve">Po ukončení rokovaní o zmluve a jej podpísaní </w:t>
      </w:r>
      <w:r w:rsidR="00144150">
        <w:rPr>
          <w:rFonts w:asciiTheme="minorHAnsi" w:eastAsiaTheme="minorHAnsi" w:hAnsiTheme="minorHAnsi" w:cstheme="minorBidi"/>
          <w:lang w:eastAsia="en-US"/>
        </w:rPr>
        <w:t>bude</w:t>
      </w:r>
      <w:r w:rsidR="001B63D5">
        <w:rPr>
          <w:rFonts w:asciiTheme="minorHAnsi" w:eastAsiaTheme="minorHAnsi" w:hAnsiTheme="minorHAnsi" w:cstheme="minorBidi"/>
          <w:lang w:eastAsia="en-US"/>
        </w:rPr>
        <w:t xml:space="preserve"> tiež</w:t>
      </w:r>
      <w:r w:rsidR="00144150">
        <w:rPr>
          <w:rFonts w:asciiTheme="minorHAnsi" w:eastAsiaTheme="minorHAnsi" w:hAnsiTheme="minorHAnsi" w:cstheme="minorBidi"/>
          <w:lang w:eastAsia="en-US"/>
        </w:rPr>
        <w:t xml:space="preserve"> možné hneď </w:t>
      </w:r>
      <w:r w:rsidR="00CF7165">
        <w:rPr>
          <w:rFonts w:asciiTheme="minorHAnsi" w:eastAsiaTheme="minorHAnsi" w:hAnsiTheme="minorHAnsi" w:cstheme="minorBidi"/>
          <w:lang w:eastAsia="en-US"/>
        </w:rPr>
        <w:lastRenderedPageBreak/>
        <w:t>využiť možnosť čerpania úverových prostriedkov</w:t>
      </w:r>
      <w:r w:rsidR="00144150">
        <w:rPr>
          <w:rFonts w:asciiTheme="minorHAnsi" w:eastAsiaTheme="minorHAnsi" w:hAnsiTheme="minorHAnsi" w:cstheme="minorBidi"/>
          <w:lang w:eastAsia="en-US"/>
        </w:rPr>
        <w:t xml:space="preserve"> na dofinancovanie rozvojových investičných projektov</w:t>
      </w:r>
      <w:r w:rsidR="00547332">
        <w:rPr>
          <w:rFonts w:asciiTheme="minorHAnsi" w:eastAsiaTheme="minorHAnsi" w:hAnsiTheme="minorHAnsi" w:cstheme="minorBidi"/>
          <w:lang w:eastAsia="en-US"/>
        </w:rPr>
        <w:t>.</w:t>
      </w:r>
    </w:p>
    <w:p w:rsidR="00547332" w:rsidRDefault="00547332" w:rsidP="00DD1C6C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Použitie prostriedkov z obidvoch úverových rámcov je presne zadefinované v bode </w:t>
      </w:r>
      <w:r w:rsidR="00424353">
        <w:rPr>
          <w:rFonts w:asciiTheme="minorHAnsi" w:eastAsiaTheme="minorHAnsi" w:hAnsiTheme="minorHAnsi" w:cstheme="minorBidi"/>
          <w:lang w:eastAsia="en-US"/>
        </w:rPr>
        <w:t>A</w:t>
      </w:r>
      <w:r>
        <w:rPr>
          <w:rFonts w:asciiTheme="minorHAnsi" w:eastAsiaTheme="minorHAnsi" w:hAnsiTheme="minorHAnsi" w:cstheme="minorBidi"/>
          <w:lang w:eastAsia="en-US"/>
        </w:rPr>
        <w:t>.3  uznesenia k tomuto materiálu a vychádza z viacerých dokumentov BSK, predovšetkým Akčného plánu BSK a v nadväznosti na jeho implementáciu zo schválených úprav rozpočtu BSK, ktoré prebehli tento rok.</w:t>
      </w:r>
    </w:p>
    <w:p w:rsidR="00072685" w:rsidRDefault="00072685" w:rsidP="00DD1C6C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</w:p>
    <w:p w:rsidR="00072685" w:rsidRPr="00C45014" w:rsidRDefault="00072685" w:rsidP="00DD1C6C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 w:cs="Arial"/>
        </w:rPr>
      </w:pPr>
    </w:p>
    <w:p w:rsidR="00DA540B" w:rsidRDefault="00DA540B" w:rsidP="00DA540B">
      <w:pPr>
        <w:jc w:val="both"/>
        <w:rPr>
          <w:rFonts w:asciiTheme="minorHAnsi" w:hAnsiTheme="minorHAnsi" w:cs="Arial"/>
        </w:rPr>
      </w:pPr>
    </w:p>
    <w:p w:rsidR="00DA540B" w:rsidRDefault="00DA540B" w:rsidP="00DA540B"/>
    <w:p w:rsidR="00E11315" w:rsidRDefault="00E11315" w:rsidP="00DA540B"/>
    <w:p w:rsidR="00E11315" w:rsidRDefault="00E11315" w:rsidP="00DA540B"/>
    <w:p w:rsidR="00E11315" w:rsidRDefault="00E11315" w:rsidP="00DA540B"/>
    <w:p w:rsidR="002602C7" w:rsidRPr="00EB551D" w:rsidRDefault="002602C7" w:rsidP="00EB551D">
      <w:pPr>
        <w:jc w:val="both"/>
        <w:rPr>
          <w:rFonts w:ascii="Arial Narrow" w:hAnsi="Arial Narrow"/>
          <w:color w:val="000000"/>
          <w:sz w:val="28"/>
          <w:szCs w:val="28"/>
        </w:rPr>
        <w:sectPr w:rsidR="002602C7" w:rsidRPr="00EB551D" w:rsidSect="002A1155">
          <w:pgSz w:w="11906" w:h="16838"/>
          <w:pgMar w:top="1417" w:right="1417" w:bottom="993" w:left="1417" w:header="708" w:footer="708" w:gutter="0"/>
          <w:cols w:space="708"/>
          <w:docGrid w:linePitch="360"/>
        </w:sectPr>
      </w:pPr>
    </w:p>
    <w:p w:rsidR="00395942" w:rsidRPr="0019765F" w:rsidRDefault="00395942" w:rsidP="00F16FDD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sectPr w:rsidR="00395942" w:rsidRPr="0019765F" w:rsidSect="002A1155">
      <w:pgSz w:w="16838" w:h="11906" w:orient="landscape" w:code="9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E02" w:rsidRDefault="00FE2E02" w:rsidP="00074B6F">
      <w:r>
        <w:separator/>
      </w:r>
    </w:p>
  </w:endnote>
  <w:endnote w:type="continuationSeparator" w:id="0">
    <w:p w:rsidR="00FE2E02" w:rsidRDefault="00FE2E02" w:rsidP="000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E02" w:rsidRDefault="00FE2E02" w:rsidP="00074B6F">
      <w:r>
        <w:separator/>
      </w:r>
    </w:p>
  </w:footnote>
  <w:footnote w:type="continuationSeparator" w:id="0">
    <w:p w:rsidR="00FE2E02" w:rsidRDefault="00FE2E02" w:rsidP="0007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78F1"/>
    <w:multiLevelType w:val="hybridMultilevel"/>
    <w:tmpl w:val="7F3EE018"/>
    <w:lvl w:ilvl="0" w:tplc="2DE896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057E70"/>
    <w:multiLevelType w:val="hybridMultilevel"/>
    <w:tmpl w:val="A5C04B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62CF1"/>
    <w:multiLevelType w:val="hybridMultilevel"/>
    <w:tmpl w:val="26D886A4"/>
    <w:lvl w:ilvl="0" w:tplc="150CBF36">
      <w:start w:val="1"/>
      <w:numFmt w:val="upperLetter"/>
      <w:lvlText w:val="%1."/>
      <w:lvlJc w:val="left"/>
      <w:pPr>
        <w:ind w:left="418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3">
    <w:nsid w:val="44774B62"/>
    <w:multiLevelType w:val="hybridMultilevel"/>
    <w:tmpl w:val="1B6C66EC"/>
    <w:lvl w:ilvl="0" w:tplc="1B7499D6">
      <w:numFmt w:val="bullet"/>
      <w:lvlText w:val="-"/>
      <w:lvlJc w:val="left"/>
      <w:pPr>
        <w:ind w:left="4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BB35097"/>
    <w:multiLevelType w:val="hybridMultilevel"/>
    <w:tmpl w:val="55C00632"/>
    <w:lvl w:ilvl="0" w:tplc="2F66ACE4">
      <w:start w:val="3"/>
      <w:numFmt w:val="upperLetter"/>
      <w:lvlText w:val="%1."/>
      <w:lvlJc w:val="left"/>
      <w:pPr>
        <w:ind w:left="41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BF"/>
    <w:rsid w:val="0002784E"/>
    <w:rsid w:val="00031036"/>
    <w:rsid w:val="000401B3"/>
    <w:rsid w:val="000447D1"/>
    <w:rsid w:val="00045BB3"/>
    <w:rsid w:val="00046AB5"/>
    <w:rsid w:val="00047227"/>
    <w:rsid w:val="00050FC3"/>
    <w:rsid w:val="000515A4"/>
    <w:rsid w:val="00053F7F"/>
    <w:rsid w:val="00056D88"/>
    <w:rsid w:val="00057E8E"/>
    <w:rsid w:val="00060EBD"/>
    <w:rsid w:val="00063C49"/>
    <w:rsid w:val="0006645D"/>
    <w:rsid w:val="00067676"/>
    <w:rsid w:val="00072685"/>
    <w:rsid w:val="00073380"/>
    <w:rsid w:val="00074AEC"/>
    <w:rsid w:val="00074B6F"/>
    <w:rsid w:val="000777E0"/>
    <w:rsid w:val="000901C6"/>
    <w:rsid w:val="000A0FDC"/>
    <w:rsid w:val="000A4DCB"/>
    <w:rsid w:val="000A5EF5"/>
    <w:rsid w:val="000B3A77"/>
    <w:rsid w:val="000C3A3A"/>
    <w:rsid w:val="000C696B"/>
    <w:rsid w:val="000E4C82"/>
    <w:rsid w:val="000E5B03"/>
    <w:rsid w:val="000F2C38"/>
    <w:rsid w:val="000F2E45"/>
    <w:rsid w:val="001043D4"/>
    <w:rsid w:val="00112C27"/>
    <w:rsid w:val="00132A7D"/>
    <w:rsid w:val="001356A4"/>
    <w:rsid w:val="001372EA"/>
    <w:rsid w:val="00137335"/>
    <w:rsid w:val="001409CB"/>
    <w:rsid w:val="001423A7"/>
    <w:rsid w:val="00144150"/>
    <w:rsid w:val="00154711"/>
    <w:rsid w:val="00161D1F"/>
    <w:rsid w:val="00166133"/>
    <w:rsid w:val="001705E9"/>
    <w:rsid w:val="0017088F"/>
    <w:rsid w:val="0017211D"/>
    <w:rsid w:val="00174C30"/>
    <w:rsid w:val="00185753"/>
    <w:rsid w:val="0019216C"/>
    <w:rsid w:val="00193BFD"/>
    <w:rsid w:val="00196DB2"/>
    <w:rsid w:val="0019765F"/>
    <w:rsid w:val="001A5B8E"/>
    <w:rsid w:val="001B1E47"/>
    <w:rsid w:val="001B63D5"/>
    <w:rsid w:val="001C18EB"/>
    <w:rsid w:val="001C2AD6"/>
    <w:rsid w:val="001C2D1C"/>
    <w:rsid w:val="001C7C31"/>
    <w:rsid w:val="001D2179"/>
    <w:rsid w:val="001D4D3C"/>
    <w:rsid w:val="001F2A6B"/>
    <w:rsid w:val="001F5A5A"/>
    <w:rsid w:val="0020148E"/>
    <w:rsid w:val="00204FFF"/>
    <w:rsid w:val="00214371"/>
    <w:rsid w:val="0022186C"/>
    <w:rsid w:val="00223E28"/>
    <w:rsid w:val="00241D1A"/>
    <w:rsid w:val="002470BF"/>
    <w:rsid w:val="002602C7"/>
    <w:rsid w:val="002610D3"/>
    <w:rsid w:val="00297516"/>
    <w:rsid w:val="002A1155"/>
    <w:rsid w:val="002B0FC4"/>
    <w:rsid w:val="002B1C73"/>
    <w:rsid w:val="002C28F1"/>
    <w:rsid w:val="002C75AD"/>
    <w:rsid w:val="002D3671"/>
    <w:rsid w:val="002D6911"/>
    <w:rsid w:val="002D7EA2"/>
    <w:rsid w:val="002E5ED1"/>
    <w:rsid w:val="002E6AF2"/>
    <w:rsid w:val="0030143A"/>
    <w:rsid w:val="00317EFD"/>
    <w:rsid w:val="003419D8"/>
    <w:rsid w:val="00343B7F"/>
    <w:rsid w:val="00352483"/>
    <w:rsid w:val="003538E7"/>
    <w:rsid w:val="003562AF"/>
    <w:rsid w:val="00370E97"/>
    <w:rsid w:val="00371B65"/>
    <w:rsid w:val="003852B0"/>
    <w:rsid w:val="00391DEF"/>
    <w:rsid w:val="00395942"/>
    <w:rsid w:val="003A7EE4"/>
    <w:rsid w:val="003B7C2D"/>
    <w:rsid w:val="003C3863"/>
    <w:rsid w:val="003C6882"/>
    <w:rsid w:val="003E4EC6"/>
    <w:rsid w:val="003E7519"/>
    <w:rsid w:val="004040D3"/>
    <w:rsid w:val="00404B7F"/>
    <w:rsid w:val="0040794F"/>
    <w:rsid w:val="00413BE5"/>
    <w:rsid w:val="00421F85"/>
    <w:rsid w:val="00424353"/>
    <w:rsid w:val="004337A5"/>
    <w:rsid w:val="00435506"/>
    <w:rsid w:val="00436E88"/>
    <w:rsid w:val="00446662"/>
    <w:rsid w:val="00450DF8"/>
    <w:rsid w:val="00454F0E"/>
    <w:rsid w:val="00455F53"/>
    <w:rsid w:val="0046046D"/>
    <w:rsid w:val="00462DCE"/>
    <w:rsid w:val="00465D67"/>
    <w:rsid w:val="004679E9"/>
    <w:rsid w:val="00477952"/>
    <w:rsid w:val="00477BC6"/>
    <w:rsid w:val="0048481D"/>
    <w:rsid w:val="00490F04"/>
    <w:rsid w:val="00497C61"/>
    <w:rsid w:val="004B3090"/>
    <w:rsid w:val="004D1B81"/>
    <w:rsid w:val="004D3F7F"/>
    <w:rsid w:val="004D54C4"/>
    <w:rsid w:val="004D7B67"/>
    <w:rsid w:val="004D7F6A"/>
    <w:rsid w:val="004E796F"/>
    <w:rsid w:val="004E7CD4"/>
    <w:rsid w:val="004F4C6A"/>
    <w:rsid w:val="00520520"/>
    <w:rsid w:val="00525189"/>
    <w:rsid w:val="00526789"/>
    <w:rsid w:val="005271AA"/>
    <w:rsid w:val="00536DF8"/>
    <w:rsid w:val="00541A93"/>
    <w:rsid w:val="00541CB9"/>
    <w:rsid w:val="00547332"/>
    <w:rsid w:val="00560FF6"/>
    <w:rsid w:val="00561C09"/>
    <w:rsid w:val="005671C2"/>
    <w:rsid w:val="00567BD2"/>
    <w:rsid w:val="005849FB"/>
    <w:rsid w:val="00586920"/>
    <w:rsid w:val="00594BA9"/>
    <w:rsid w:val="005C1996"/>
    <w:rsid w:val="005E1151"/>
    <w:rsid w:val="005E2656"/>
    <w:rsid w:val="005E2D35"/>
    <w:rsid w:val="005E34E3"/>
    <w:rsid w:val="005E5986"/>
    <w:rsid w:val="005E5D9C"/>
    <w:rsid w:val="005E6888"/>
    <w:rsid w:val="005E7D75"/>
    <w:rsid w:val="005F6AFF"/>
    <w:rsid w:val="00601EEE"/>
    <w:rsid w:val="00603628"/>
    <w:rsid w:val="00607621"/>
    <w:rsid w:val="0061567A"/>
    <w:rsid w:val="0061736D"/>
    <w:rsid w:val="00633AF2"/>
    <w:rsid w:val="00634D29"/>
    <w:rsid w:val="006373E9"/>
    <w:rsid w:val="00655269"/>
    <w:rsid w:val="006846E2"/>
    <w:rsid w:val="006A2994"/>
    <w:rsid w:val="006A6F8F"/>
    <w:rsid w:val="006B60B8"/>
    <w:rsid w:val="006C1E94"/>
    <w:rsid w:val="006C620A"/>
    <w:rsid w:val="006D317B"/>
    <w:rsid w:val="006D410C"/>
    <w:rsid w:val="006D4A87"/>
    <w:rsid w:val="006D738F"/>
    <w:rsid w:val="006E1C70"/>
    <w:rsid w:val="00701F8A"/>
    <w:rsid w:val="007052DF"/>
    <w:rsid w:val="007057C5"/>
    <w:rsid w:val="00706934"/>
    <w:rsid w:val="00710281"/>
    <w:rsid w:val="007103A8"/>
    <w:rsid w:val="007154D2"/>
    <w:rsid w:val="00715B8E"/>
    <w:rsid w:val="0071633D"/>
    <w:rsid w:val="00722898"/>
    <w:rsid w:val="00736518"/>
    <w:rsid w:val="00744EF3"/>
    <w:rsid w:val="007460A9"/>
    <w:rsid w:val="007536D2"/>
    <w:rsid w:val="00760FAF"/>
    <w:rsid w:val="007621C8"/>
    <w:rsid w:val="00770081"/>
    <w:rsid w:val="00770C73"/>
    <w:rsid w:val="00785305"/>
    <w:rsid w:val="007A25CF"/>
    <w:rsid w:val="007A3E9E"/>
    <w:rsid w:val="007B2209"/>
    <w:rsid w:val="007B27C0"/>
    <w:rsid w:val="007C0BDE"/>
    <w:rsid w:val="007C4389"/>
    <w:rsid w:val="007D1534"/>
    <w:rsid w:val="007D29CA"/>
    <w:rsid w:val="007D48A1"/>
    <w:rsid w:val="007D4DC5"/>
    <w:rsid w:val="007D7BE6"/>
    <w:rsid w:val="007E7655"/>
    <w:rsid w:val="007F69C4"/>
    <w:rsid w:val="00800A25"/>
    <w:rsid w:val="0080765F"/>
    <w:rsid w:val="008144DD"/>
    <w:rsid w:val="00832BC9"/>
    <w:rsid w:val="00835597"/>
    <w:rsid w:val="008616E2"/>
    <w:rsid w:val="00861C27"/>
    <w:rsid w:val="00870324"/>
    <w:rsid w:val="008757BE"/>
    <w:rsid w:val="0089280A"/>
    <w:rsid w:val="00897B02"/>
    <w:rsid w:val="008A0674"/>
    <w:rsid w:val="008A1D9D"/>
    <w:rsid w:val="008A3746"/>
    <w:rsid w:val="008A4201"/>
    <w:rsid w:val="008A4C38"/>
    <w:rsid w:val="008A5E01"/>
    <w:rsid w:val="008A621F"/>
    <w:rsid w:val="008A75FA"/>
    <w:rsid w:val="008B25B4"/>
    <w:rsid w:val="008B45AE"/>
    <w:rsid w:val="008B5A98"/>
    <w:rsid w:val="008C4F74"/>
    <w:rsid w:val="008D1E29"/>
    <w:rsid w:val="008D3582"/>
    <w:rsid w:val="008D4D3D"/>
    <w:rsid w:val="008E0C32"/>
    <w:rsid w:val="008E30FA"/>
    <w:rsid w:val="008F046D"/>
    <w:rsid w:val="008F4209"/>
    <w:rsid w:val="0090278E"/>
    <w:rsid w:val="009063C1"/>
    <w:rsid w:val="00911CBA"/>
    <w:rsid w:val="00913201"/>
    <w:rsid w:val="0092094B"/>
    <w:rsid w:val="00924558"/>
    <w:rsid w:val="00926DFC"/>
    <w:rsid w:val="0092701E"/>
    <w:rsid w:val="009360AB"/>
    <w:rsid w:val="00937644"/>
    <w:rsid w:val="00941B6F"/>
    <w:rsid w:val="00943258"/>
    <w:rsid w:val="00945964"/>
    <w:rsid w:val="00950C8C"/>
    <w:rsid w:val="00952320"/>
    <w:rsid w:val="0096396E"/>
    <w:rsid w:val="00970789"/>
    <w:rsid w:val="009879B8"/>
    <w:rsid w:val="00990D96"/>
    <w:rsid w:val="009A24AF"/>
    <w:rsid w:val="009A5BB8"/>
    <w:rsid w:val="009A7A00"/>
    <w:rsid w:val="009B4006"/>
    <w:rsid w:val="009B464D"/>
    <w:rsid w:val="009B549F"/>
    <w:rsid w:val="009B7BB8"/>
    <w:rsid w:val="009C0356"/>
    <w:rsid w:val="009C5DDE"/>
    <w:rsid w:val="009E7D7E"/>
    <w:rsid w:val="009F6120"/>
    <w:rsid w:val="009F6921"/>
    <w:rsid w:val="00A02CF6"/>
    <w:rsid w:val="00A07EE5"/>
    <w:rsid w:val="00A11029"/>
    <w:rsid w:val="00A1764E"/>
    <w:rsid w:val="00A36505"/>
    <w:rsid w:val="00A46BB5"/>
    <w:rsid w:val="00A47B19"/>
    <w:rsid w:val="00A47D49"/>
    <w:rsid w:val="00A50F7D"/>
    <w:rsid w:val="00A524E4"/>
    <w:rsid w:val="00A60021"/>
    <w:rsid w:val="00A845D1"/>
    <w:rsid w:val="00A9792D"/>
    <w:rsid w:val="00AB3737"/>
    <w:rsid w:val="00AB634F"/>
    <w:rsid w:val="00AC0757"/>
    <w:rsid w:val="00AC1F41"/>
    <w:rsid w:val="00AC7E71"/>
    <w:rsid w:val="00AD5BBA"/>
    <w:rsid w:val="00AE2EEC"/>
    <w:rsid w:val="00AF087F"/>
    <w:rsid w:val="00AF2CC1"/>
    <w:rsid w:val="00B0155C"/>
    <w:rsid w:val="00B2167B"/>
    <w:rsid w:val="00B467D2"/>
    <w:rsid w:val="00B6015F"/>
    <w:rsid w:val="00B644DF"/>
    <w:rsid w:val="00B671D5"/>
    <w:rsid w:val="00B7036F"/>
    <w:rsid w:val="00B71FD0"/>
    <w:rsid w:val="00B75DAE"/>
    <w:rsid w:val="00B771AE"/>
    <w:rsid w:val="00B87B10"/>
    <w:rsid w:val="00B97A10"/>
    <w:rsid w:val="00BB2676"/>
    <w:rsid w:val="00BB4A4A"/>
    <w:rsid w:val="00BC13C5"/>
    <w:rsid w:val="00BC33E5"/>
    <w:rsid w:val="00BC5667"/>
    <w:rsid w:val="00BC7B7D"/>
    <w:rsid w:val="00BD2FDD"/>
    <w:rsid w:val="00BE2D6F"/>
    <w:rsid w:val="00BE64DA"/>
    <w:rsid w:val="00BE6BC3"/>
    <w:rsid w:val="00BE7E8B"/>
    <w:rsid w:val="00BF7745"/>
    <w:rsid w:val="00C04CC1"/>
    <w:rsid w:val="00C11E8F"/>
    <w:rsid w:val="00C1668E"/>
    <w:rsid w:val="00C20503"/>
    <w:rsid w:val="00C36BD7"/>
    <w:rsid w:val="00C42D3F"/>
    <w:rsid w:val="00C45014"/>
    <w:rsid w:val="00C464C9"/>
    <w:rsid w:val="00C47F71"/>
    <w:rsid w:val="00C50495"/>
    <w:rsid w:val="00C52260"/>
    <w:rsid w:val="00C87BBB"/>
    <w:rsid w:val="00C93594"/>
    <w:rsid w:val="00CB2307"/>
    <w:rsid w:val="00CB271D"/>
    <w:rsid w:val="00CC4E32"/>
    <w:rsid w:val="00CC5E70"/>
    <w:rsid w:val="00CC783C"/>
    <w:rsid w:val="00CC7A08"/>
    <w:rsid w:val="00CD1BE4"/>
    <w:rsid w:val="00CF1DDB"/>
    <w:rsid w:val="00CF7165"/>
    <w:rsid w:val="00D06BF2"/>
    <w:rsid w:val="00D11773"/>
    <w:rsid w:val="00D12D2F"/>
    <w:rsid w:val="00D20B75"/>
    <w:rsid w:val="00D22919"/>
    <w:rsid w:val="00D57954"/>
    <w:rsid w:val="00D62434"/>
    <w:rsid w:val="00D65FEA"/>
    <w:rsid w:val="00D66196"/>
    <w:rsid w:val="00D85665"/>
    <w:rsid w:val="00D96021"/>
    <w:rsid w:val="00DA0252"/>
    <w:rsid w:val="00DA4931"/>
    <w:rsid w:val="00DA540B"/>
    <w:rsid w:val="00DB26B4"/>
    <w:rsid w:val="00DD1C6C"/>
    <w:rsid w:val="00DD5993"/>
    <w:rsid w:val="00DD7F0B"/>
    <w:rsid w:val="00DE3FC0"/>
    <w:rsid w:val="00E01373"/>
    <w:rsid w:val="00E0357E"/>
    <w:rsid w:val="00E04EDC"/>
    <w:rsid w:val="00E05E2B"/>
    <w:rsid w:val="00E11315"/>
    <w:rsid w:val="00E120C6"/>
    <w:rsid w:val="00E228D0"/>
    <w:rsid w:val="00E25D1E"/>
    <w:rsid w:val="00E31933"/>
    <w:rsid w:val="00E3330B"/>
    <w:rsid w:val="00E601E0"/>
    <w:rsid w:val="00E6333E"/>
    <w:rsid w:val="00E6614F"/>
    <w:rsid w:val="00E664B4"/>
    <w:rsid w:val="00E75753"/>
    <w:rsid w:val="00E761B7"/>
    <w:rsid w:val="00E7700E"/>
    <w:rsid w:val="00E77EAA"/>
    <w:rsid w:val="00EA3EB1"/>
    <w:rsid w:val="00EA6525"/>
    <w:rsid w:val="00EA6ACF"/>
    <w:rsid w:val="00EB0A11"/>
    <w:rsid w:val="00EB551D"/>
    <w:rsid w:val="00EC17A5"/>
    <w:rsid w:val="00EC5334"/>
    <w:rsid w:val="00ED48B6"/>
    <w:rsid w:val="00ED6DF3"/>
    <w:rsid w:val="00EF23B2"/>
    <w:rsid w:val="00EF2D67"/>
    <w:rsid w:val="00F01309"/>
    <w:rsid w:val="00F07A2A"/>
    <w:rsid w:val="00F12221"/>
    <w:rsid w:val="00F15E1C"/>
    <w:rsid w:val="00F16FDD"/>
    <w:rsid w:val="00F2726C"/>
    <w:rsid w:val="00F27AB1"/>
    <w:rsid w:val="00F32C09"/>
    <w:rsid w:val="00F34FD2"/>
    <w:rsid w:val="00F35B3A"/>
    <w:rsid w:val="00F35C9C"/>
    <w:rsid w:val="00F441B7"/>
    <w:rsid w:val="00F4437C"/>
    <w:rsid w:val="00F64080"/>
    <w:rsid w:val="00F666F8"/>
    <w:rsid w:val="00F7231B"/>
    <w:rsid w:val="00F73395"/>
    <w:rsid w:val="00F86386"/>
    <w:rsid w:val="00F929F9"/>
    <w:rsid w:val="00F93A16"/>
    <w:rsid w:val="00FA1EF6"/>
    <w:rsid w:val="00FB069B"/>
    <w:rsid w:val="00FB0A51"/>
    <w:rsid w:val="00FB24D6"/>
    <w:rsid w:val="00FB38D9"/>
    <w:rsid w:val="00FC3430"/>
    <w:rsid w:val="00FC3ABF"/>
    <w:rsid w:val="00FD3A62"/>
    <w:rsid w:val="00FE0575"/>
    <w:rsid w:val="00FE2E02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E7D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5E7D75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Zarkazkladnhotextu">
    <w:name w:val="Body Text Indent"/>
    <w:basedOn w:val="Normlny"/>
    <w:link w:val="ZarkazkladnhotextuChar"/>
    <w:rsid w:val="005E7D7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5E7D7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E7D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5E7D75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Zarkazkladnhotextu">
    <w:name w:val="Body Text Indent"/>
    <w:basedOn w:val="Normlny"/>
    <w:link w:val="ZarkazkladnhotextuChar"/>
    <w:rsid w:val="005E7D7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5E7D7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2F02-9D03-480E-9FCD-71321F9D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Marek Vlčej</cp:lastModifiedBy>
  <cp:revision>3</cp:revision>
  <cp:lastPrinted>2017-04-12T06:17:00Z</cp:lastPrinted>
  <dcterms:created xsi:type="dcterms:W3CDTF">2017-05-03T09:03:00Z</dcterms:created>
  <dcterms:modified xsi:type="dcterms:W3CDTF">2017-05-03T09:05:00Z</dcterms:modified>
</cp:coreProperties>
</file>